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644C7">
      <w:pPr>
        <w:pStyle w:val="100"/>
        <w:spacing w:line="276" w:lineRule="auto"/>
        <w:rPr>
          <w:rFonts w:hint="default"/>
          <w:lang w:val="hr-HR"/>
        </w:rPr>
      </w:pPr>
      <w:r>
        <w:t xml:space="preserve">Ur.broj: </w:t>
      </w:r>
      <w:r>
        <w:rPr>
          <w:rFonts w:hint="default"/>
          <w:lang w:val="hr-HR"/>
        </w:rPr>
        <w:t>58</w:t>
      </w:r>
      <w:r>
        <w:t>/</w:t>
      </w:r>
      <w:r>
        <w:rPr>
          <w:rFonts w:hint="default"/>
          <w:lang w:val="hr-HR"/>
        </w:rPr>
        <w:t>2</w:t>
      </w:r>
      <w:r>
        <w:t>-2</w:t>
      </w:r>
      <w:r>
        <w:rPr>
          <w:rFonts w:hint="default"/>
          <w:lang w:val="hr-HR"/>
        </w:rPr>
        <w:t>5</w:t>
      </w:r>
    </w:p>
    <w:p w14:paraId="1F992D09">
      <w:pPr>
        <w:pStyle w:val="100"/>
        <w:spacing w:line="276" w:lineRule="auto"/>
        <w:rPr>
          <w:color w:val="auto"/>
        </w:rPr>
      </w:pPr>
      <w:r>
        <w:rPr>
          <w:color w:val="auto"/>
        </w:rPr>
        <w:t xml:space="preserve">Knin, </w:t>
      </w:r>
      <w:r>
        <w:rPr>
          <w:rFonts w:hint="default"/>
          <w:color w:val="auto"/>
          <w:lang w:val="hr-HR"/>
        </w:rPr>
        <w:t>07.04.2025.</w:t>
      </w:r>
      <w:r>
        <w:rPr>
          <w:color w:val="auto"/>
        </w:rPr>
        <w:t xml:space="preserve"> godine</w:t>
      </w:r>
    </w:p>
    <w:p w14:paraId="52616239">
      <w:pPr>
        <w:pStyle w:val="100"/>
        <w:spacing w:line="276" w:lineRule="auto"/>
      </w:pPr>
      <w:r>
        <w:t xml:space="preserve"> </w:t>
      </w:r>
    </w:p>
    <w:p w14:paraId="7D020822">
      <w:pPr>
        <w:rPr>
          <w:rFonts w:cs="Times New Roman"/>
        </w:rPr>
      </w:pPr>
    </w:p>
    <w:p w14:paraId="51FF01FA">
      <w:pPr>
        <w:rPr>
          <w:rFonts w:cs="Times New Roman"/>
        </w:rPr>
      </w:pPr>
    </w:p>
    <w:p w14:paraId="3EFBB6F3">
      <w:pPr>
        <w:rPr>
          <w:rFonts w:cs="Times New Roman"/>
        </w:rPr>
      </w:pPr>
    </w:p>
    <w:p w14:paraId="59A66E07">
      <w:pPr>
        <w:jc w:val="center"/>
        <w:rPr>
          <w:rFonts w:cs="Times New Roman"/>
        </w:rPr>
      </w:pPr>
    </w:p>
    <w:p w14:paraId="60D7F601">
      <w:pPr>
        <w:jc w:val="center"/>
        <w:rPr>
          <w:rFonts w:cs="Times New Roman"/>
          <w:b/>
          <w:sz w:val="32"/>
          <w:szCs w:val="32"/>
        </w:rPr>
      </w:pPr>
      <w:r>
        <w:rPr>
          <w:rFonts w:cs="Times New Roman"/>
          <w:b/>
          <w:sz w:val="32"/>
          <w:szCs w:val="32"/>
        </w:rPr>
        <w:t>POZIV ZA DOSTAVU PONUDA</w:t>
      </w:r>
    </w:p>
    <w:p w14:paraId="5805810B">
      <w:pPr>
        <w:jc w:val="center"/>
        <w:rPr>
          <w:rFonts w:cs="Times New Roman"/>
        </w:rPr>
      </w:pPr>
    </w:p>
    <w:p w14:paraId="6634666D">
      <w:pPr>
        <w:jc w:val="center"/>
        <w:rPr>
          <w:rFonts w:cs="Times New Roman"/>
        </w:rPr>
      </w:pPr>
    </w:p>
    <w:p w14:paraId="034A3EDD">
      <w:pPr>
        <w:jc w:val="center"/>
        <w:rPr>
          <w:rFonts w:cs="Times New Roman"/>
        </w:rPr>
      </w:pPr>
      <w:r>
        <w:rPr>
          <w:rFonts w:cs="Times New Roman"/>
        </w:rPr>
        <w:t>za jednostavnu nabavu</w:t>
      </w:r>
    </w:p>
    <w:p w14:paraId="525A60E7">
      <w:pPr>
        <w:jc w:val="center"/>
        <w:rPr>
          <w:rFonts w:cs="Times New Roman"/>
          <w:lang w:val="hr-HR" w:eastAsia="hr-HR" w:bidi="ar-SA"/>
        </w:rPr>
      </w:pPr>
      <w:r>
        <w:rPr>
          <w:rFonts w:cs="Times New Roman"/>
          <w:lang w:val="hr-HR" w:eastAsia="hr-HR" w:bidi="ar-SA"/>
        </w:rPr>
        <w:t>Sukladno članku 15. ZJN (NN 114/22)</w:t>
      </w:r>
    </w:p>
    <w:p w14:paraId="704455BC">
      <w:pPr>
        <w:rPr>
          <w:rFonts w:cs="Times New Roman"/>
        </w:rPr>
      </w:pPr>
      <w:r>
        <w:rPr>
          <w:rFonts w:cs="Times New Roman"/>
        </w:rPr>
        <w:t xml:space="preserve"> </w:t>
      </w:r>
    </w:p>
    <w:p w14:paraId="0899F9A6">
      <w:pPr>
        <w:rPr>
          <w:rFonts w:cs="Times New Roman"/>
        </w:rPr>
      </w:pPr>
    </w:p>
    <w:p w14:paraId="160AFB99">
      <w:pPr>
        <w:rPr>
          <w:rFonts w:cs="Times New Roman"/>
        </w:rPr>
      </w:pPr>
    </w:p>
    <w:p w14:paraId="3BA183D2">
      <w:pPr>
        <w:jc w:val="center"/>
        <w:rPr>
          <w:rFonts w:hint="default" w:cs="Times New Roman"/>
          <w:lang w:val="hr-HR"/>
        </w:rPr>
      </w:pPr>
      <w:r>
        <w:rPr>
          <w:rFonts w:hint="default" w:cs="Times New Roman"/>
          <w:b/>
          <w:bCs/>
          <w:sz w:val="32"/>
          <w:szCs w:val="32"/>
          <w:lang w:val="hr-HR"/>
        </w:rPr>
        <w:t>NABAVA POŠTANSKIH USLUGA</w:t>
      </w:r>
    </w:p>
    <w:p w14:paraId="3E4AE109">
      <w:pPr>
        <w:rPr>
          <w:rFonts w:cs="Times New Roman"/>
        </w:rPr>
      </w:pPr>
    </w:p>
    <w:p w14:paraId="59A7F6A0">
      <w:pPr>
        <w:rPr>
          <w:rFonts w:cs="Times New Roman"/>
        </w:rPr>
      </w:pPr>
    </w:p>
    <w:p w14:paraId="1BAD4898">
      <w:pPr>
        <w:jc w:val="center"/>
        <w:rPr>
          <w:rFonts w:hint="default" w:cs="Times New Roman"/>
          <w:b/>
          <w:color w:val="000000" w:themeColor="text1"/>
          <w:lang w:val="hr-HR"/>
          <w14:textFill>
            <w14:solidFill>
              <w14:schemeClr w14:val="tx1"/>
            </w14:solidFill>
          </w14:textFill>
        </w:rPr>
      </w:pPr>
      <w:r>
        <w:rPr>
          <w:rFonts w:cs="Times New Roman"/>
          <w:b/>
          <w:color w:val="000000" w:themeColor="text1"/>
          <w14:textFill>
            <w14:solidFill>
              <w14:schemeClr w14:val="tx1"/>
            </w14:solidFill>
          </w14:textFill>
        </w:rPr>
        <w:t xml:space="preserve">Ev. broj nabave: </w:t>
      </w:r>
      <w:r>
        <w:rPr>
          <w:rFonts w:hint="default" w:cs="Times New Roman"/>
          <w:b/>
          <w:color w:val="000000" w:themeColor="text1"/>
          <w:lang w:val="hr-HR"/>
          <w14:textFill>
            <w14:solidFill>
              <w14:schemeClr w14:val="tx1"/>
            </w14:solidFill>
          </w14:textFill>
        </w:rPr>
        <w:t>JN-13</w:t>
      </w:r>
      <w:r>
        <w:rPr>
          <w:rFonts w:cs="Times New Roman"/>
          <w:b/>
          <w:color w:val="000000" w:themeColor="text1"/>
          <w14:textFill>
            <w14:solidFill>
              <w14:schemeClr w14:val="tx1"/>
            </w14:solidFill>
          </w14:textFill>
        </w:rPr>
        <w:t>/202</w:t>
      </w:r>
      <w:r>
        <w:rPr>
          <w:rFonts w:hint="default" w:cs="Times New Roman"/>
          <w:b/>
          <w:color w:val="000000" w:themeColor="text1"/>
          <w:lang w:val="hr-HR"/>
          <w14:textFill>
            <w14:solidFill>
              <w14:schemeClr w14:val="tx1"/>
            </w14:solidFill>
          </w14:textFill>
        </w:rPr>
        <w:t>5</w:t>
      </w:r>
    </w:p>
    <w:p w14:paraId="61C6BB58">
      <w:pPr>
        <w:jc w:val="center"/>
        <w:rPr>
          <w:rFonts w:hint="default" w:cs="Times New Roman"/>
          <w:b/>
          <w:color w:val="FF0000"/>
          <w:lang w:val="hr-HR"/>
        </w:rPr>
      </w:pPr>
      <w:r>
        <w:rPr>
          <w:rFonts w:cs="Times New Roman"/>
          <w:b/>
        </w:rPr>
        <w:t xml:space="preserve">CPV oznaka: </w:t>
      </w:r>
      <w:r>
        <w:rPr>
          <w:rFonts w:hint="default" w:cs="Times New Roman"/>
          <w:b/>
          <w:lang w:val="hr-HR"/>
        </w:rPr>
        <w:t>641110000</w:t>
      </w:r>
    </w:p>
    <w:p w14:paraId="200E0DCA">
      <w:pPr>
        <w:rPr>
          <w:rFonts w:cs="Times New Roman"/>
        </w:rPr>
      </w:pPr>
    </w:p>
    <w:p w14:paraId="5633CAA9">
      <w:pPr>
        <w:rPr>
          <w:rFonts w:cs="Times New Roman"/>
        </w:rPr>
      </w:pPr>
    </w:p>
    <w:p w14:paraId="1BF28BCA">
      <w:pPr>
        <w:rPr>
          <w:rFonts w:cs="Times New Roman"/>
        </w:rPr>
      </w:pPr>
    </w:p>
    <w:p w14:paraId="42E9886B">
      <w:pPr>
        <w:rPr>
          <w:rFonts w:cs="Times New Roman"/>
        </w:rPr>
      </w:pPr>
    </w:p>
    <w:p w14:paraId="14234804">
      <w:pPr>
        <w:rPr>
          <w:rFonts w:cs="Times New Roman"/>
        </w:rPr>
      </w:pPr>
    </w:p>
    <w:p w14:paraId="288E7E72">
      <w:pPr>
        <w:rPr>
          <w:rFonts w:cs="Times New Roman"/>
        </w:rPr>
      </w:pPr>
    </w:p>
    <w:p w14:paraId="7D95AFB4">
      <w:pPr>
        <w:rPr>
          <w:rFonts w:cs="Times New Roman"/>
        </w:rPr>
      </w:pPr>
    </w:p>
    <w:p w14:paraId="17553E01">
      <w:pPr>
        <w:rPr>
          <w:rFonts w:cs="Times New Roman"/>
          <w:b/>
          <w:sz w:val="32"/>
          <w:szCs w:val="32"/>
        </w:rPr>
      </w:pPr>
      <w:r>
        <w:rPr>
          <w:rFonts w:cs="Times New Roman"/>
          <w:b/>
          <w:sz w:val="32"/>
          <w:szCs w:val="32"/>
        </w:rPr>
        <w:t>SADRŽAJ:</w:t>
      </w:r>
    </w:p>
    <w:p w14:paraId="3C385EF1">
      <w:pPr>
        <w:rPr>
          <w:rFonts w:cs="Times New Roman"/>
        </w:rPr>
      </w:pPr>
    </w:p>
    <w:p w14:paraId="599F0E54">
      <w:pPr>
        <w:rPr>
          <w:rFonts w:cs="Times New Roman"/>
        </w:rPr>
      </w:pPr>
    </w:p>
    <w:p w14:paraId="45F590FF">
      <w:pPr>
        <w:rPr>
          <w:rFonts w:cs="Times New Roman"/>
        </w:rPr>
      </w:pPr>
    </w:p>
    <w:p w14:paraId="78C8505D">
      <w:pPr>
        <w:rPr>
          <w:rFonts w:cs="Times New Roman"/>
          <w:b/>
        </w:rPr>
      </w:pPr>
      <w:r>
        <w:rPr>
          <w:rFonts w:cs="Times New Roman"/>
          <w:b/>
        </w:rPr>
        <w:t xml:space="preserve">1. OPĆI PODACI </w:t>
      </w:r>
    </w:p>
    <w:p w14:paraId="37BFF5CC">
      <w:pPr>
        <w:rPr>
          <w:rFonts w:cs="Times New Roman"/>
          <w:b/>
        </w:rPr>
      </w:pPr>
      <w:r>
        <w:rPr>
          <w:rFonts w:cs="Times New Roman"/>
          <w:b/>
        </w:rPr>
        <w:t>2. PODACI O PREDMETU NABAVE I PONUDI</w:t>
      </w:r>
    </w:p>
    <w:p w14:paraId="6C3F13C4">
      <w:pPr>
        <w:rPr>
          <w:rFonts w:cs="Times New Roman"/>
          <w:b/>
        </w:rPr>
      </w:pPr>
      <w:r>
        <w:rPr>
          <w:rFonts w:cs="Times New Roman"/>
          <w:b/>
        </w:rPr>
        <w:t>3. RAZLOZI ISKLJUČENJA I DOKAZI SPOSOBNOSTI NATJECATELJA ILI PONUDITELJA</w:t>
      </w:r>
    </w:p>
    <w:p w14:paraId="34EFF243">
      <w:pPr>
        <w:rPr>
          <w:rFonts w:cs="Times New Roman"/>
          <w:b/>
        </w:rPr>
      </w:pPr>
      <w:r>
        <w:rPr>
          <w:rFonts w:cs="Times New Roman"/>
          <w:b/>
        </w:rPr>
        <w:t>4. PRILOZI ZA IZRADU PONUDE</w:t>
      </w:r>
    </w:p>
    <w:p w14:paraId="742DB1DA">
      <w:pPr>
        <w:pStyle w:val="100"/>
        <w:spacing w:line="276" w:lineRule="auto"/>
        <w:jc w:val="both"/>
        <w:rPr>
          <w:bCs/>
        </w:rPr>
      </w:pPr>
      <w:r>
        <w:rPr>
          <w:bCs/>
        </w:rPr>
        <w:t>Prilog 1.   -  Ponudbeni list</w:t>
      </w:r>
    </w:p>
    <w:p w14:paraId="180CFD45">
      <w:pPr>
        <w:pStyle w:val="100"/>
        <w:spacing w:line="276" w:lineRule="auto"/>
        <w:jc w:val="both"/>
        <w:rPr>
          <w:bCs/>
        </w:rPr>
      </w:pPr>
      <w:r>
        <w:rPr>
          <w:bCs/>
        </w:rPr>
        <w:t>Prilog 2.   -  Troškovnik</w:t>
      </w:r>
    </w:p>
    <w:p w14:paraId="455D0A52">
      <w:pPr>
        <w:pStyle w:val="100"/>
        <w:spacing w:line="276" w:lineRule="auto"/>
        <w:jc w:val="both"/>
        <w:rPr>
          <w:bCs/>
        </w:rPr>
      </w:pPr>
      <w:r>
        <w:rPr>
          <w:bCs/>
        </w:rPr>
        <w:t>Prilog 3.   -  Izjava o nekažnjavanju</w:t>
      </w:r>
    </w:p>
    <w:p w14:paraId="5FDEE912">
      <w:pPr>
        <w:pStyle w:val="100"/>
        <w:spacing w:line="276" w:lineRule="auto"/>
        <w:jc w:val="both"/>
        <w:rPr>
          <w:bCs/>
        </w:rPr>
      </w:pPr>
    </w:p>
    <w:p w14:paraId="1D61C5DB">
      <w:pPr>
        <w:pStyle w:val="100"/>
        <w:spacing w:line="276" w:lineRule="auto"/>
        <w:jc w:val="both"/>
        <w:rPr>
          <w:bCs/>
        </w:rPr>
      </w:pPr>
    </w:p>
    <w:p w14:paraId="4AF022C6">
      <w:pPr>
        <w:pStyle w:val="100"/>
        <w:spacing w:line="276" w:lineRule="auto"/>
        <w:jc w:val="both"/>
        <w:rPr>
          <w:bCs/>
        </w:rPr>
      </w:pPr>
    </w:p>
    <w:p w14:paraId="7972D2F4">
      <w:pPr>
        <w:pStyle w:val="100"/>
        <w:spacing w:line="276" w:lineRule="auto"/>
        <w:rPr>
          <w:sz w:val="22"/>
          <w:szCs w:val="22"/>
        </w:rPr>
      </w:pPr>
    </w:p>
    <w:p w14:paraId="4513D05A">
      <w:pPr>
        <w:rPr>
          <w:rFonts w:cs="Times New Roman"/>
        </w:rPr>
      </w:pPr>
    </w:p>
    <w:p w14:paraId="242CF453">
      <w:pPr>
        <w:rPr>
          <w:rFonts w:cs="Times New Roman"/>
        </w:rPr>
      </w:pPr>
    </w:p>
    <w:p w14:paraId="6BA5CFA5">
      <w:pPr>
        <w:rPr>
          <w:rFonts w:cs="Times New Roman"/>
        </w:rPr>
      </w:pPr>
    </w:p>
    <w:p w14:paraId="531BCF52">
      <w:pPr>
        <w:rPr>
          <w:rFonts w:cs="Times New Roman"/>
        </w:rPr>
      </w:pPr>
    </w:p>
    <w:p w14:paraId="6CED69A8">
      <w:pPr>
        <w:rPr>
          <w:rFonts w:cs="Times New Roman"/>
        </w:rPr>
      </w:pPr>
    </w:p>
    <w:p w14:paraId="6AFB4F4F">
      <w:pPr>
        <w:rPr>
          <w:rFonts w:cs="Times New Roman"/>
        </w:rPr>
      </w:pPr>
    </w:p>
    <w:p w14:paraId="461E7E83">
      <w:pPr>
        <w:rPr>
          <w:rFonts w:cs="Times New Roman"/>
        </w:rPr>
      </w:pPr>
    </w:p>
    <w:p w14:paraId="1AE84853">
      <w:pPr>
        <w:rPr>
          <w:rFonts w:cs="Times New Roman"/>
        </w:rPr>
      </w:pPr>
    </w:p>
    <w:p w14:paraId="7F8EA425">
      <w:pPr>
        <w:suppressAutoHyphens w:val="0"/>
        <w:spacing w:after="0" w:line="240" w:lineRule="auto"/>
        <w:jc w:val="left"/>
        <w:rPr>
          <w:rFonts w:cs="Times New Roman"/>
          <w:b/>
          <w:sz w:val="28"/>
          <w:szCs w:val="28"/>
        </w:rPr>
      </w:pPr>
    </w:p>
    <w:p w14:paraId="3972380A">
      <w:pPr>
        <w:suppressAutoHyphens w:val="0"/>
        <w:spacing w:after="0" w:line="240" w:lineRule="auto"/>
        <w:jc w:val="left"/>
        <w:rPr>
          <w:rFonts w:cs="Times New Roman"/>
          <w:b/>
          <w:sz w:val="28"/>
          <w:szCs w:val="28"/>
        </w:rPr>
      </w:pPr>
      <w:r>
        <w:rPr>
          <w:rFonts w:cs="Times New Roman"/>
          <w:b/>
          <w:sz w:val="28"/>
          <w:szCs w:val="28"/>
        </w:rPr>
        <w:br w:type="page"/>
      </w:r>
    </w:p>
    <w:p w14:paraId="6345DA32">
      <w:pPr>
        <w:rPr>
          <w:rFonts w:cs="Times New Roman"/>
          <w:b/>
          <w:sz w:val="28"/>
          <w:szCs w:val="28"/>
        </w:rPr>
      </w:pPr>
      <w:r>
        <w:rPr>
          <w:rFonts w:cs="Times New Roman"/>
          <w:b/>
          <w:sz w:val="28"/>
          <w:szCs w:val="28"/>
        </w:rPr>
        <w:t>UPUTE PONUDITELJIMA</w:t>
      </w:r>
    </w:p>
    <w:p w14:paraId="09D0A25C">
      <w:pPr>
        <w:rPr>
          <w:rFonts w:cs="Times New Roman"/>
        </w:rPr>
      </w:pPr>
    </w:p>
    <w:p w14:paraId="23F15002">
      <w:pPr>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 xml:space="preserve">1. OPĆI PODACI </w:t>
      </w:r>
    </w:p>
    <w:p w14:paraId="7B97131F">
      <w:pPr>
        <w:pStyle w:val="99"/>
        <w:numPr>
          <w:ilvl w:val="1"/>
          <w:numId w:val="1"/>
        </w:numPr>
        <w:rPr>
          <w:rFonts w:ascii="Times New Roman" w:hAnsi="Times New Roman"/>
          <w:b/>
        </w:rPr>
      </w:pPr>
      <w:r>
        <w:rPr>
          <w:rFonts w:ascii="Times New Roman" w:hAnsi="Times New Roman"/>
          <w:b/>
        </w:rPr>
        <w:t xml:space="preserve">NARUČITELJ: </w:t>
      </w:r>
    </w:p>
    <w:p w14:paraId="6E8A2820">
      <w:pPr>
        <w:pStyle w:val="58"/>
        <w:ind w:left="0"/>
        <w:rPr>
          <w:rFonts w:cs="Times New Roman"/>
        </w:rPr>
      </w:pPr>
      <w:r>
        <w:rPr>
          <w:rFonts w:cs="Times New Roman"/>
        </w:rPr>
        <w:t xml:space="preserve">       Komunalno poduzeće d.o.o. Knin, Trg Oluje k.br.9., 22300 Knin</w:t>
      </w:r>
    </w:p>
    <w:p w14:paraId="4DECCB83">
      <w:pPr>
        <w:pStyle w:val="58"/>
        <w:ind w:left="0"/>
        <w:rPr>
          <w:rFonts w:cs="Times New Roman"/>
        </w:rPr>
      </w:pPr>
      <w:r>
        <w:rPr>
          <w:rFonts w:cs="Times New Roman"/>
        </w:rPr>
        <w:t xml:space="preserve">       OIB: 33813961569</w:t>
      </w:r>
    </w:p>
    <w:p w14:paraId="10484479">
      <w:pPr>
        <w:rPr>
          <w:rFonts w:cs="Times New Roman"/>
        </w:rPr>
      </w:pPr>
      <w:r>
        <w:rPr>
          <w:rFonts w:cs="Times New Roman"/>
        </w:rPr>
        <w:t xml:space="preserve">       Broj telefona: 022/660-049</w:t>
      </w:r>
    </w:p>
    <w:p w14:paraId="3F778E4E">
      <w:pPr>
        <w:rPr>
          <w:rFonts w:cs="Times New Roman"/>
        </w:rPr>
      </w:pPr>
      <w:r>
        <w:rPr>
          <w:rFonts w:cs="Times New Roman"/>
        </w:rPr>
        <w:t xml:space="preserve">       Broj telefaksa: 022/660-233</w:t>
      </w:r>
    </w:p>
    <w:p w14:paraId="689B1096">
      <w:pPr>
        <w:rPr>
          <w:rFonts w:cs="Times New Roman"/>
        </w:rPr>
      </w:pPr>
      <w:r>
        <w:rPr>
          <w:rFonts w:cs="Times New Roman"/>
        </w:rPr>
        <w:t xml:space="preserve">       Internetska adresa: </w:t>
      </w:r>
      <w:r>
        <w:fldChar w:fldCharType="begin"/>
      </w:r>
      <w:r>
        <w:instrText xml:space="preserve"> HYPERLINK "http://www.komunalno-knin.hr" </w:instrText>
      </w:r>
      <w:r>
        <w:fldChar w:fldCharType="separate"/>
      </w:r>
      <w:r>
        <w:rPr>
          <w:rStyle w:val="21"/>
          <w:rFonts w:cs="Times New Roman"/>
          <w:szCs w:val="24"/>
        </w:rPr>
        <w:t>www.komunalno-knin.hr</w:t>
      </w:r>
      <w:r>
        <w:rPr>
          <w:rStyle w:val="21"/>
          <w:rFonts w:cs="Times New Roman"/>
          <w:szCs w:val="24"/>
        </w:rPr>
        <w:fldChar w:fldCharType="end"/>
      </w:r>
    </w:p>
    <w:p w14:paraId="1FD84AEC">
      <w:pPr>
        <w:ind w:left="6186" w:leftChars="0" w:hanging="6186" w:firstLineChars="0"/>
        <w:rPr>
          <w:rStyle w:val="21"/>
          <w:rFonts w:cs="Times New Roman"/>
          <w:szCs w:val="24"/>
        </w:rPr>
      </w:pPr>
      <w:r>
        <w:rPr>
          <w:rFonts w:cs="Times New Roman"/>
        </w:rPr>
        <w:t xml:space="preserve">       Adresa elektroničke pošte: </w:t>
      </w:r>
      <w:r>
        <w:fldChar w:fldCharType="begin"/>
      </w:r>
      <w:r>
        <w:instrText xml:space="preserve"> HYPERLINK "mailto:komunalno@komunalno-knin.hr" </w:instrText>
      </w:r>
      <w:r>
        <w:fldChar w:fldCharType="separate"/>
      </w:r>
      <w:r>
        <w:rPr>
          <w:rStyle w:val="21"/>
          <w:rFonts w:cs="Times New Roman"/>
          <w:szCs w:val="24"/>
        </w:rPr>
        <w:t>komunalno@komunalno-knin.hr</w:t>
      </w:r>
      <w:r>
        <w:rPr>
          <w:rStyle w:val="21"/>
          <w:rFonts w:cs="Times New Roman"/>
          <w:szCs w:val="24"/>
        </w:rPr>
        <w:fldChar w:fldCharType="end"/>
      </w:r>
    </w:p>
    <w:p w14:paraId="47BEFFF3">
      <w:pPr>
        <w:rPr>
          <w:rFonts w:cs="Times New Roman"/>
        </w:rPr>
      </w:pPr>
    </w:p>
    <w:p w14:paraId="056DDA4F">
      <w:pPr>
        <w:pStyle w:val="58"/>
        <w:numPr>
          <w:ilvl w:val="1"/>
          <w:numId w:val="1"/>
        </w:numPr>
        <w:rPr>
          <w:rFonts w:cs="Times New Roman"/>
          <w:b/>
        </w:rPr>
      </w:pPr>
      <w:r>
        <w:rPr>
          <w:rFonts w:cs="Times New Roman"/>
          <w:b/>
        </w:rPr>
        <w:t>OSOBE ZADUŽENE ZA KONTAKT S PONUDITELJIMA:</w:t>
      </w:r>
    </w:p>
    <w:p w14:paraId="625CB1AF">
      <w:pPr>
        <w:pStyle w:val="100"/>
        <w:spacing w:line="276" w:lineRule="auto"/>
        <w:jc w:val="both"/>
      </w:pPr>
      <w:r>
        <w:t xml:space="preserve">Kontakt osobe: </w:t>
      </w:r>
    </w:p>
    <w:p w14:paraId="19196E21">
      <w:pPr>
        <w:pStyle w:val="100"/>
        <w:spacing w:line="276" w:lineRule="auto"/>
        <w:jc w:val="both"/>
      </w:pPr>
      <w:r>
        <w:t xml:space="preserve">- Za opće informacije o postupku nabave: Ivana Zelić, mag.oec. </w:t>
      </w:r>
    </w:p>
    <w:p w14:paraId="7FA29C82">
      <w:pPr>
        <w:pStyle w:val="100"/>
        <w:spacing w:line="276" w:lineRule="auto"/>
        <w:jc w:val="both"/>
      </w:pPr>
      <w:r>
        <w:t xml:space="preserve"> e-mail: </w:t>
      </w:r>
      <w:r>
        <w:fldChar w:fldCharType="begin"/>
      </w:r>
      <w:r>
        <w:instrText xml:space="preserve"> HYPERLINK "mailto:zelic.ivana@komunalno-knin.hr" </w:instrText>
      </w:r>
      <w:r>
        <w:fldChar w:fldCharType="separate"/>
      </w:r>
      <w:r>
        <w:rPr>
          <w:rStyle w:val="21"/>
        </w:rPr>
        <w:t>zelic.ivana@komunalno-knin.hr</w:t>
      </w:r>
      <w:r>
        <w:rPr>
          <w:rStyle w:val="21"/>
        </w:rPr>
        <w:fldChar w:fldCharType="end"/>
      </w:r>
      <w:r>
        <w:t xml:space="preserve"> </w:t>
      </w:r>
    </w:p>
    <w:p w14:paraId="1C5B3418">
      <w:pPr>
        <w:pStyle w:val="100"/>
        <w:spacing w:line="276" w:lineRule="auto"/>
        <w:jc w:val="both"/>
      </w:pPr>
      <w:r>
        <w:t xml:space="preserve">- Za tehnička pitanja u svezi predmeta nabave: </w:t>
      </w:r>
      <w:r>
        <w:rPr>
          <w:rFonts w:hint="default"/>
          <w:lang w:val="hr-HR"/>
        </w:rPr>
        <w:t xml:space="preserve">Joso Ćaćić </w:t>
      </w:r>
      <w:r>
        <w:t xml:space="preserve"> </w:t>
      </w:r>
    </w:p>
    <w:p w14:paraId="659D3BFA">
      <w:pPr>
        <w:pStyle w:val="100"/>
        <w:spacing w:line="276" w:lineRule="auto"/>
        <w:jc w:val="both"/>
        <w:rPr>
          <w:rFonts w:hint="default"/>
        </w:rPr>
      </w:pPr>
      <w:r>
        <w:t>e-mail</w:t>
      </w:r>
      <w:r>
        <w:rPr>
          <w:rFonts w:hint="default"/>
          <w:lang w:val="hr-HR"/>
        </w:rPr>
        <w:t xml:space="preserve">: </w:t>
      </w:r>
      <w:r>
        <w:rPr>
          <w:rFonts w:hint="default"/>
        </w:rPr>
        <w:fldChar w:fldCharType="begin"/>
      </w:r>
      <w:r>
        <w:rPr>
          <w:rFonts w:hint="default"/>
        </w:rPr>
        <w:instrText xml:space="preserve"> HYPERLINK "mailto:joso.cacic@komunalno-knin.hr" </w:instrText>
      </w:r>
      <w:r>
        <w:rPr>
          <w:rFonts w:hint="default"/>
        </w:rPr>
        <w:fldChar w:fldCharType="separate"/>
      </w:r>
      <w:r>
        <w:rPr>
          <w:rStyle w:val="21"/>
          <w:rFonts w:hint="default"/>
        </w:rPr>
        <w:t>joso.cacic@komunalno-knin.hr</w:t>
      </w:r>
      <w:r>
        <w:rPr>
          <w:rFonts w:hint="default"/>
        </w:rPr>
        <w:fldChar w:fldCharType="end"/>
      </w:r>
    </w:p>
    <w:p w14:paraId="582610B4">
      <w:pPr>
        <w:pStyle w:val="100"/>
        <w:spacing w:line="276" w:lineRule="auto"/>
        <w:jc w:val="both"/>
      </w:pPr>
      <w:r>
        <w:t xml:space="preserve"> </w:t>
      </w:r>
    </w:p>
    <w:p w14:paraId="43109FC3">
      <w:pPr>
        <w:pStyle w:val="100"/>
        <w:spacing w:line="276" w:lineRule="auto"/>
        <w:jc w:val="both"/>
      </w:pPr>
      <w:r>
        <w:rPr>
          <w:rFonts w:hint="default"/>
          <w:lang w:val="hr-HR"/>
        </w:rPr>
        <w:t>U</w:t>
      </w:r>
      <w:r>
        <w:t xml:space="preserve">pite vezane za objavljeni postupak javne nabave molimo upućivati samo na navedene        kontakte. </w:t>
      </w:r>
    </w:p>
    <w:p w14:paraId="6FCDE32A">
      <w:pPr>
        <w:pStyle w:val="100"/>
        <w:spacing w:line="276" w:lineRule="auto"/>
        <w:jc w:val="both"/>
      </w:pPr>
    </w:p>
    <w:p w14:paraId="4890AE9B">
      <w:pPr>
        <w:rPr>
          <w:rFonts w:hint="default" w:cs="Times New Roman"/>
          <w:color w:val="000000" w:themeColor="text1"/>
          <w:lang w:val="hr-HR"/>
          <w14:textFill>
            <w14:solidFill>
              <w14:schemeClr w14:val="tx1"/>
            </w14:solidFill>
          </w14:textFill>
        </w:rPr>
      </w:pPr>
      <w:r>
        <w:rPr>
          <w:rFonts w:cs="Times New Roman"/>
          <w:b/>
          <w:bCs/>
        </w:rPr>
        <w:t>1.3. EVIDENCIJSKI BROJ NABAVE:</w:t>
      </w:r>
      <w:r>
        <w:rPr>
          <w:rFonts w:cs="Times New Roman"/>
        </w:rPr>
        <w:t xml:space="preserve">  </w:t>
      </w:r>
      <w:r>
        <w:rPr>
          <w:rFonts w:hint="default" w:cs="Times New Roman"/>
          <w:lang w:val="hr-HR"/>
        </w:rPr>
        <w:t>JN-13</w:t>
      </w:r>
      <w:r>
        <w:rPr>
          <w:rFonts w:cs="Times New Roman"/>
          <w:color w:val="000000" w:themeColor="text1"/>
          <w14:textFill>
            <w14:solidFill>
              <w14:schemeClr w14:val="tx1"/>
            </w14:solidFill>
          </w14:textFill>
        </w:rPr>
        <w:t>/202</w:t>
      </w:r>
      <w:r>
        <w:rPr>
          <w:rFonts w:hint="default" w:cs="Times New Roman"/>
          <w:color w:val="000000" w:themeColor="text1"/>
          <w:lang w:val="hr-HR"/>
          <w14:textFill>
            <w14:solidFill>
              <w14:schemeClr w14:val="tx1"/>
            </w14:solidFill>
          </w14:textFill>
        </w:rPr>
        <w:t>5</w:t>
      </w:r>
    </w:p>
    <w:p w14:paraId="71873CF5">
      <w:pPr>
        <w:pStyle w:val="100"/>
        <w:spacing w:line="276" w:lineRule="auto"/>
        <w:jc w:val="both"/>
      </w:pPr>
      <w:r>
        <w:rPr>
          <w:b/>
          <w:bCs/>
        </w:rPr>
        <w:t>1.4. VRSTA POSTUPKA:</w:t>
      </w:r>
    </w:p>
    <w:p w14:paraId="6C3A7C3C">
      <w:pPr>
        <w:pStyle w:val="100"/>
        <w:spacing w:line="276" w:lineRule="auto"/>
        <w:jc w:val="both"/>
      </w:pPr>
      <w:r>
        <w:t>Jednostavna nabava sukladno članku 15. ZJN (NN 120/16, 114/22) Pravilniku o provedbi postupka jednostavne nabave URBROJ: 167/1-24, od 27. lipnja 2024. godine.</w:t>
      </w:r>
    </w:p>
    <w:p w14:paraId="1ABD061B">
      <w:pPr>
        <w:pStyle w:val="100"/>
        <w:spacing w:line="276" w:lineRule="auto"/>
        <w:jc w:val="both"/>
      </w:pPr>
    </w:p>
    <w:p w14:paraId="609FFA78">
      <w:pPr>
        <w:pStyle w:val="100"/>
        <w:spacing w:line="276" w:lineRule="auto"/>
        <w:jc w:val="both"/>
        <w:rPr>
          <w:b/>
          <w:bCs/>
          <w:color w:val="auto"/>
        </w:rPr>
      </w:pPr>
      <w:r>
        <w:rPr>
          <w:b/>
          <w:bCs/>
        </w:rPr>
        <w:t>1.5. PROCIJENJENA VRIJEDNOST JEDNOSTAVNE  NABAVE</w:t>
      </w:r>
      <w:r>
        <w:rPr>
          <w:b/>
          <w:bCs/>
          <w:color w:val="auto"/>
        </w:rPr>
        <w:t xml:space="preserve">:  </w:t>
      </w:r>
      <w:r>
        <w:rPr>
          <w:rFonts w:hint="default"/>
          <w:b/>
          <w:bCs/>
          <w:color w:val="auto"/>
          <w:lang w:val="hr-HR"/>
        </w:rPr>
        <w:t>5.000,00</w:t>
      </w:r>
      <w:r>
        <w:rPr>
          <w:color w:val="auto"/>
        </w:rPr>
        <w:t xml:space="preserve"> EURA bez PDV-a.</w:t>
      </w:r>
    </w:p>
    <w:p w14:paraId="7458C46D">
      <w:pPr>
        <w:pStyle w:val="100"/>
        <w:spacing w:line="276" w:lineRule="auto"/>
        <w:jc w:val="both"/>
      </w:pPr>
      <w:r>
        <w:t xml:space="preserve"> </w:t>
      </w:r>
    </w:p>
    <w:p w14:paraId="0C748CF3">
      <w:pPr>
        <w:pStyle w:val="100"/>
        <w:spacing w:line="276" w:lineRule="auto"/>
        <w:jc w:val="both"/>
      </w:pPr>
      <w:r>
        <w:rPr>
          <w:b/>
          <w:bCs/>
        </w:rPr>
        <w:t xml:space="preserve">1.6. VRSTA UGOVORA O JEDNOSTAVNOJ NABAVI:  </w:t>
      </w:r>
      <w:r>
        <w:t>Ugovor o uslugama</w:t>
      </w:r>
    </w:p>
    <w:p w14:paraId="6E5009C9">
      <w:pPr>
        <w:rPr>
          <w:rFonts w:cs="Times New Roman"/>
          <w:color w:val="000000"/>
          <w:szCs w:val="24"/>
          <w:lang w:val="hr-HR" w:eastAsia="hr-HR" w:bidi="ar-SA"/>
        </w:rPr>
      </w:pPr>
      <w:r>
        <w:rPr>
          <w:rFonts w:cs="Times New Roman"/>
        </w:rPr>
        <w:br w:type="page"/>
      </w:r>
    </w:p>
    <w:p w14:paraId="0F94571D">
      <w:pPr>
        <w:rPr>
          <w:rFonts w:cs="Times New Roman"/>
          <w:b/>
          <w:color w:val="558ED5" w:themeColor="text2" w:themeTint="99"/>
          <w:szCs w:val="24"/>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2. PODACI O PREDMETU NABAVE I PONUDI</w:t>
      </w:r>
    </w:p>
    <w:p w14:paraId="203D69E5">
      <w:pPr>
        <w:rPr>
          <w:rFonts w:cs="Times New Roman"/>
          <w:b/>
        </w:rPr>
      </w:pPr>
      <w:r>
        <w:rPr>
          <w:rFonts w:cs="Times New Roman"/>
          <w:b/>
        </w:rPr>
        <w:t xml:space="preserve">2.1. OPIS I KOLIČINA PREDMETA NABAVE: </w:t>
      </w:r>
    </w:p>
    <w:p w14:paraId="7B39C61F">
      <w:pPr>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Predmet nabave su poštanske usluge u unutarnjem i međunarodnom poštanskom prometu, sukladno uvjetima iz Dokumentacije, Zakonu o poštanskim uslugama („Narodne novine“, broj 144/12, 153/13, 78/15 i 110/19), podzakonskim aktima donesenim na temelju Zakona o poštanskim uslugama, aktima Svjetske poštanske unije, te Općim uvjetima davatelja poštanskih usluga ukoliko isti nisu u suprotnosti s uvjetima iz Poziva, a za potrebe </w:t>
      </w:r>
      <w:r>
        <w:rPr>
          <w:rFonts w:hint="default" w:ascii="Times New Roman" w:hAnsi="Times New Roman" w:eastAsia="SimSun" w:cs="Times New Roman"/>
          <w:sz w:val="24"/>
          <w:szCs w:val="24"/>
          <w:lang w:val="hr-HR"/>
        </w:rPr>
        <w:t>Komunalnog poduzeća d.o.o.</w:t>
      </w:r>
      <w:r>
        <w:rPr>
          <w:rFonts w:hint="default" w:ascii="Times New Roman" w:hAnsi="Times New Roman" w:eastAsia="SimSun" w:cs="Times New Roman"/>
          <w:sz w:val="24"/>
          <w:szCs w:val="24"/>
        </w:rPr>
        <w:t xml:space="preserve">, za razdoblje od 12 mjeseci. Ponuditelj je dužan osigurati prijem i uručenje pošiljaka svim fizičkim i pravnim osobama svaki radni dan (ponedjeljak-petak) na cijelom području Republike Hrvatske (uključujući otoke, slabije naseljena i brdska područja) i u međunarodnom poštanskom prometu u skladu s aktima Svjetske poštanske unije. Ponuditelj je dužan poštanske pošiljke prenijeti i osigurati uručenje u stanju u kojem je ona zaprimljena. Za pošiljke koje se odnose na sudjelovanje u upravnom i drugim postupcima, postupanje s pošiljkama i uručenje mora biti u skladu sa Zakonom o općem upravnom postupku i posebnim propisima koji reguliraju odvijanje tih postupaka. </w:t>
      </w:r>
    </w:p>
    <w:p w14:paraId="4DBCAE85">
      <w:pPr>
        <w:rPr>
          <w:rFonts w:hint="default" w:ascii="Times New Roman" w:hAnsi="Times New Roman" w:eastAsia="SimSun" w:cs="Times New Roman"/>
          <w:sz w:val="24"/>
          <w:szCs w:val="24"/>
        </w:rPr>
      </w:pPr>
      <w:r>
        <w:rPr>
          <w:rFonts w:hint="default" w:ascii="Times New Roman" w:hAnsi="Times New Roman" w:eastAsia="SimSun" w:cs="Times New Roman"/>
          <w:sz w:val="24"/>
          <w:szCs w:val="24"/>
        </w:rPr>
        <w:t>Poštanske usluge koje su predmet ovog postupka opisane su i specificirane u troškovniku koji čini sastavni dio poziva.</w:t>
      </w:r>
    </w:p>
    <w:p w14:paraId="48DEA703">
      <w:pPr>
        <w:rPr>
          <w:rFonts w:hint="default" w:ascii="Times New Roman" w:hAnsi="Times New Roman" w:cs="Times New Roman"/>
          <w:b/>
        </w:rPr>
      </w:pPr>
      <w:r>
        <w:rPr>
          <w:rFonts w:hint="default" w:ascii="Times New Roman" w:hAnsi="Times New Roman" w:eastAsia="SimSun" w:cs="Times New Roman"/>
          <w:sz w:val="24"/>
          <w:szCs w:val="24"/>
        </w:rPr>
        <w:t xml:space="preserve"> CPV oznaka 64110000 Poštanske usluge</w:t>
      </w:r>
    </w:p>
    <w:p w14:paraId="3C5146CB">
      <w:pPr>
        <w:rPr>
          <w:rFonts w:cs="Times New Roman"/>
          <w:b/>
        </w:rPr>
      </w:pPr>
    </w:p>
    <w:p w14:paraId="29110FFD">
      <w:pPr>
        <w:rPr>
          <w:rFonts w:cs="Times New Roman"/>
          <w:b/>
        </w:rPr>
      </w:pPr>
      <w:r>
        <w:rPr>
          <w:rFonts w:cs="Times New Roman"/>
          <w:b/>
        </w:rPr>
        <w:t>2.2.  KOLIČINA PREDMETA NABAVE</w:t>
      </w:r>
    </w:p>
    <w:p w14:paraId="2EF12C1B">
      <w:pPr>
        <w:autoSpaceDE w:val="0"/>
        <w:autoSpaceDN w:val="0"/>
        <w:adjustRightInd w:val="0"/>
        <w:spacing w:after="120"/>
        <w:ind w:right="380"/>
        <w:rPr>
          <w:rFonts w:cs="Times New Roman"/>
          <w:color w:val="000000"/>
        </w:rPr>
      </w:pPr>
      <w:r>
        <w:rPr>
          <w:rFonts w:cs="Times New Roman"/>
        </w:rPr>
        <w:t>Ponuditelj mora ponuditi cjelokupni predmet nabave koji se traži</w:t>
      </w:r>
      <w:r>
        <w:rPr>
          <w:rFonts w:cs="Times New Roman"/>
          <w:color w:val="000000"/>
        </w:rPr>
        <w:t>.</w:t>
      </w:r>
    </w:p>
    <w:p w14:paraId="70F6F2B4">
      <w:pPr>
        <w:pStyle w:val="9"/>
        <w:ind w:right="270"/>
        <w:rPr>
          <w:rFonts w:hint="default" w:cs="Times New Roman"/>
          <w:lang w:val="hr-HR"/>
        </w:rPr>
      </w:pPr>
      <w:r>
        <w:rPr>
          <w:rFonts w:cs="Times New Roman"/>
        </w:rPr>
        <w:t>Količina</w:t>
      </w:r>
      <w:r>
        <w:rPr>
          <w:rFonts w:cs="Times New Roman"/>
          <w:spacing w:val="1"/>
        </w:rPr>
        <w:t xml:space="preserve"> </w:t>
      </w:r>
      <w:r>
        <w:rPr>
          <w:rFonts w:cs="Times New Roman"/>
        </w:rPr>
        <w:t>predmeta</w:t>
      </w:r>
      <w:r>
        <w:rPr>
          <w:rFonts w:cs="Times New Roman"/>
          <w:spacing w:val="1"/>
        </w:rPr>
        <w:t xml:space="preserve"> </w:t>
      </w:r>
      <w:r>
        <w:rPr>
          <w:rFonts w:cs="Times New Roman"/>
        </w:rPr>
        <w:t>nabave</w:t>
      </w:r>
      <w:r>
        <w:rPr>
          <w:rFonts w:cs="Times New Roman"/>
          <w:spacing w:val="1"/>
        </w:rPr>
        <w:t xml:space="preserve"> </w:t>
      </w:r>
      <w:r>
        <w:rPr>
          <w:rFonts w:cs="Times New Roman"/>
        </w:rPr>
        <w:t>je</w:t>
      </w:r>
      <w:r>
        <w:rPr>
          <w:rFonts w:cs="Times New Roman"/>
          <w:spacing w:val="1"/>
        </w:rPr>
        <w:t xml:space="preserve"> </w:t>
      </w:r>
      <w:r>
        <w:rPr>
          <w:rFonts w:cs="Times New Roman"/>
        </w:rPr>
        <w:t>pretpostavljena</w:t>
      </w:r>
      <w:r>
        <w:rPr>
          <w:rFonts w:cs="Times New Roman"/>
          <w:spacing w:val="1"/>
        </w:rPr>
        <w:t xml:space="preserve"> </w:t>
      </w:r>
      <w:r>
        <w:rPr>
          <w:rFonts w:cs="Times New Roman"/>
        </w:rPr>
        <w:t>za cca</w:t>
      </w:r>
      <w:r>
        <w:rPr>
          <w:rFonts w:cs="Times New Roman"/>
          <w:spacing w:val="1"/>
        </w:rPr>
        <w:t xml:space="preserve"> </w:t>
      </w:r>
      <w:r>
        <w:rPr>
          <w:rFonts w:hint="default" w:cs="Times New Roman"/>
          <w:spacing w:val="1"/>
          <w:lang w:val="hr-HR"/>
        </w:rPr>
        <w:t>5.000,00</w:t>
      </w:r>
      <w:r>
        <w:rPr>
          <w:rFonts w:cs="Times New Roman"/>
          <w:spacing w:val="1"/>
        </w:rPr>
        <w:t xml:space="preserve"> </w:t>
      </w:r>
      <w:r>
        <w:rPr>
          <w:rFonts w:cs="Times New Roman"/>
        </w:rPr>
        <w:t>EUR-a</w:t>
      </w:r>
      <w:r>
        <w:rPr>
          <w:rFonts w:cs="Times New Roman"/>
          <w:spacing w:val="1"/>
        </w:rPr>
        <w:t xml:space="preserve"> </w:t>
      </w:r>
      <w:r>
        <w:rPr>
          <w:rFonts w:cs="Times New Roman"/>
        </w:rPr>
        <w:t>vrijednosti</w:t>
      </w:r>
      <w:r>
        <w:rPr>
          <w:rFonts w:cs="Times New Roman"/>
          <w:spacing w:val="1"/>
        </w:rPr>
        <w:t xml:space="preserve"> </w:t>
      </w:r>
      <w:r>
        <w:rPr>
          <w:rFonts w:hint="default" w:cs="Times New Roman"/>
          <w:spacing w:val="1"/>
          <w:lang w:val="hr-HR"/>
        </w:rPr>
        <w:t>izvršenih usluga</w:t>
      </w:r>
      <w:r>
        <w:rPr>
          <w:rFonts w:hint="default" w:cs="Times New Roman"/>
          <w:lang w:val="hr-HR"/>
        </w:rPr>
        <w:t>.</w:t>
      </w:r>
    </w:p>
    <w:p w14:paraId="2F25DD8C">
      <w:pPr>
        <w:pStyle w:val="9"/>
        <w:ind w:right="270"/>
        <w:rPr>
          <w:rFonts w:hint="default" w:cs="Times New Roman"/>
          <w:lang w:val="hr-HR"/>
        </w:rPr>
      </w:pPr>
    </w:p>
    <w:p w14:paraId="02CB8A3E">
      <w:pPr>
        <w:rPr>
          <w:rFonts w:cs="Times New Roman"/>
          <w:b/>
          <w:color w:val="auto"/>
        </w:rPr>
      </w:pPr>
      <w:r>
        <w:rPr>
          <w:rFonts w:cs="Times New Roman"/>
          <w:b/>
          <w:color w:val="auto"/>
        </w:rPr>
        <w:t>2.3. TEHNIČKA SPECIFIKACIJA</w:t>
      </w:r>
    </w:p>
    <w:p w14:paraId="5160781E">
      <w:pPr>
        <w:rPr>
          <w:rFonts w:hint="default" w:ascii="Times New Roman" w:hAnsi="Times New Roman" w:cs="Times New Roman"/>
          <w:b/>
          <w:color w:val="auto"/>
        </w:rPr>
      </w:pPr>
      <w:r>
        <w:rPr>
          <w:rFonts w:hint="default" w:ascii="Times New Roman" w:hAnsi="Times New Roman" w:eastAsia="SimSun" w:cs="Times New Roman"/>
          <w:sz w:val="24"/>
          <w:szCs w:val="24"/>
        </w:rPr>
        <w:t>Naru</w:t>
      </w:r>
      <w:r>
        <w:rPr>
          <w:rFonts w:hint="default" w:ascii="Times New Roman" w:hAnsi="Times New Roman" w:eastAsia="SimSun" w:cs="Times New Roman"/>
          <w:sz w:val="24"/>
          <w:szCs w:val="24"/>
          <w:lang w:val="hr-HR"/>
        </w:rPr>
        <w:t>č</w:t>
      </w:r>
      <w:r>
        <w:rPr>
          <w:rFonts w:hint="default" w:ascii="Times New Roman" w:hAnsi="Times New Roman" w:eastAsia="SimSun" w:cs="Times New Roman"/>
          <w:sz w:val="24"/>
          <w:szCs w:val="24"/>
        </w:rPr>
        <w:t>itelj poštanskih usluga ima pravo odabrati onu vrstu poštanske usluge koja odgovara sadržaju, stvarnoj vrijednosti sadržaja poštanske pošiljke i značenju poštanske pošiljke za Naručitelja. Ponuditelj je dužan usluge pružati u skladu s odredbama Zakona o poštanskim uslugama i općim uvjetima ponuditelja te je dužan svaki radni dan osigurati uručenje pošiljaka svim pravnim i fizičkim osobama na području Republike Hrvatske, a uručenje pošiljaka u međunarodnom poštanskom prometu u skladu sa aktima Svjetske poštanske unije. Neuručene pošiljke biti će obavezno vraćene naručitelju. Neuručene pošiljke ponuditelj je obavezan pravdati pisanom naznakom na omotnici pošiljke iz koje je jasno vidljiv razlog neuručenja (nepostojeća adresa, pogrešna adresa, odselio i ostalo).</w:t>
      </w:r>
    </w:p>
    <w:p w14:paraId="66151D38">
      <w:pPr>
        <w:rPr>
          <w:rFonts w:cs="Times New Roman"/>
          <w:b/>
          <w:color w:val="auto"/>
        </w:rPr>
      </w:pPr>
    </w:p>
    <w:p w14:paraId="0D621667">
      <w:pPr>
        <w:rPr>
          <w:rFonts w:cs="Times New Roman"/>
          <w:b/>
          <w:color w:val="auto"/>
        </w:rPr>
      </w:pPr>
    </w:p>
    <w:p w14:paraId="0470263F">
      <w:pPr>
        <w:numPr>
          <w:ilvl w:val="0"/>
          <w:numId w:val="0"/>
        </w:numPr>
        <w:tabs>
          <w:tab w:val="left" w:pos="8789"/>
        </w:tabs>
        <w:suppressAutoHyphens/>
        <w:spacing w:after="0" w:line="276" w:lineRule="auto"/>
        <w:ind w:leftChars="0" w:right="413" w:rightChars="0"/>
        <w:jc w:val="left"/>
        <w:rPr>
          <w:rFonts w:hint="default" w:cs="Times New Roman"/>
          <w:lang w:val="hr-HR"/>
        </w:rPr>
      </w:pPr>
    </w:p>
    <w:p w14:paraId="3E2B3714">
      <w:pPr>
        <w:numPr>
          <w:ilvl w:val="0"/>
          <w:numId w:val="0"/>
        </w:numPr>
        <w:tabs>
          <w:tab w:val="left" w:pos="8789"/>
        </w:tabs>
        <w:spacing w:after="0"/>
        <w:ind w:leftChars="0" w:right="413" w:rightChars="0"/>
        <w:rPr>
          <w:rFonts w:hint="default" w:cs="Times New Roman"/>
          <w:b/>
          <w:bCs/>
          <w:lang w:val="hr-HR"/>
        </w:rPr>
      </w:pPr>
    </w:p>
    <w:p w14:paraId="53B3ECFB">
      <w:pPr>
        <w:rPr>
          <w:rFonts w:cs="Times New Roman"/>
          <w:b/>
          <w:color w:val="auto"/>
        </w:rPr>
      </w:pPr>
      <w:r>
        <w:rPr>
          <w:rFonts w:cs="Times New Roman"/>
          <w:b/>
          <w:color w:val="auto"/>
        </w:rPr>
        <w:t xml:space="preserve">2.4. </w:t>
      </w:r>
      <w:r>
        <w:rPr>
          <w:rFonts w:eastAsia="SimSun" w:cs="Times New Roman"/>
          <w:b/>
          <w:color w:val="auto"/>
          <w:lang w:eastAsia="zh-CN"/>
        </w:rPr>
        <w:t xml:space="preserve"> TROŠKOVNIK</w:t>
      </w:r>
    </w:p>
    <w:p w14:paraId="38974874">
      <w:pPr>
        <w:rPr>
          <w:rFonts w:eastAsia="SimSun" w:cs="Times New Roman"/>
          <w:lang w:eastAsia="zh-CN"/>
        </w:rPr>
      </w:pPr>
      <w:r>
        <w:rPr>
          <w:rFonts w:eastAsia="SimSun" w:cs="Times New Roman"/>
          <w:lang w:eastAsia="zh-CN"/>
        </w:rPr>
        <w:t>Troškovnik se nalazi u prilogu ove dokumentacije o nabavi i čini njen sastavni dio.</w:t>
      </w:r>
    </w:p>
    <w:p w14:paraId="1EC359DE">
      <w:pPr>
        <w:rPr>
          <w:rFonts w:eastAsia="SimSun" w:cs="Times New Roman"/>
          <w:lang w:eastAsia="zh-CN"/>
        </w:rPr>
      </w:pPr>
      <w:r>
        <w:rPr>
          <w:rFonts w:eastAsia="SimSun" w:cs="Times New Roman"/>
          <w:lang w:eastAsia="zh-CN"/>
        </w:rPr>
        <w:t>Ponuditelj je obvezan, sukladno uvjetima i zahtjevima iz dokumentacije o nabavi i pripadajućeg troškovnika, ponuditi pojedinačno sve stavke iz troškovnika kod kojih je navedena jedinica mjere i količina, a u protivnom će se ponuda smatrati nepravilnom.</w:t>
      </w:r>
    </w:p>
    <w:p w14:paraId="475B5750">
      <w:pPr>
        <w:rPr>
          <w:rFonts w:eastAsia="SimSun" w:cs="Times New Roman"/>
          <w:lang w:eastAsia="zh-CN"/>
        </w:rPr>
      </w:pPr>
      <w:r>
        <w:rPr>
          <w:rFonts w:eastAsia="SimSun" w:cs="Times New Roman"/>
          <w:lang w:eastAsia="zh-CN"/>
        </w:rPr>
        <w:t>Prilikom ispunjavanja troškovnika ponuditelj ukupnu cijenu stavke izračunava kao umnožak količine stavke i cijene stavke.</w:t>
      </w:r>
    </w:p>
    <w:p w14:paraId="163184B6">
      <w:pPr>
        <w:rPr>
          <w:rFonts w:eastAsia="SimSun" w:cs="Times New Roman"/>
          <w:lang w:eastAsia="zh-CN"/>
        </w:rPr>
      </w:pPr>
      <w:r>
        <w:rPr>
          <w:rFonts w:eastAsia="SimSun" w:cs="Times New Roman"/>
          <w:lang w:eastAsia="zh-CN"/>
        </w:rPr>
        <w:t>Pri sastavljanju ponude ne smiju se dodavati redovi ili stupci, ili na bilo koji drugi način mijenjati izgled obrasca troškovnika.</w:t>
      </w:r>
    </w:p>
    <w:p w14:paraId="7A6986E3">
      <w:pPr>
        <w:spacing w:after="120"/>
        <w:ind w:right="414"/>
        <w:rPr>
          <w:rFonts w:cs="Times New Roman"/>
          <w:color w:val="000000"/>
        </w:rPr>
      </w:pPr>
      <w:r>
        <w:rPr>
          <w:rFonts w:cs="Times New Roman"/>
          <w:b/>
          <w:bCs/>
          <w:color w:val="000000"/>
        </w:rPr>
        <w:t>Jedinična cijena stavke Troškovnika i ukupna cijena moraju biti zaokružene na dvije decimale</w:t>
      </w:r>
      <w:r>
        <w:rPr>
          <w:rFonts w:cs="Times New Roman"/>
          <w:color w:val="000000"/>
        </w:rPr>
        <w:t xml:space="preserve">. </w:t>
      </w:r>
    </w:p>
    <w:p w14:paraId="5B6B1E6F">
      <w:pPr>
        <w:spacing w:after="120"/>
        <w:ind w:right="414"/>
        <w:rPr>
          <w:rFonts w:cs="Times New Roman"/>
          <w:color w:val="000000"/>
        </w:rPr>
      </w:pPr>
    </w:p>
    <w:p w14:paraId="3600CDFD">
      <w:pPr>
        <w:rPr>
          <w:rFonts w:cs="Times New Roman"/>
          <w:b/>
          <w:color w:val="auto"/>
        </w:rPr>
      </w:pPr>
      <w:bookmarkStart w:id="0" w:name="_Toc484766694"/>
      <w:r>
        <w:rPr>
          <w:rFonts w:cs="Times New Roman"/>
          <w:b/>
          <w:color w:val="auto"/>
        </w:rPr>
        <w:t xml:space="preserve">2.5. MJESTO </w:t>
      </w:r>
      <w:bookmarkEnd w:id="0"/>
      <w:r>
        <w:rPr>
          <w:rFonts w:hint="default" w:cs="Times New Roman"/>
          <w:b/>
          <w:color w:val="auto"/>
          <w:lang w:val="hr-HR"/>
        </w:rPr>
        <w:t>I</w:t>
      </w:r>
      <w:r>
        <w:rPr>
          <w:rFonts w:cs="Times New Roman"/>
          <w:b/>
          <w:color w:val="auto"/>
        </w:rPr>
        <w:t xml:space="preserve">ZVOĐENJA USLUGE </w:t>
      </w:r>
    </w:p>
    <w:p w14:paraId="22CAC345">
      <w:pPr>
        <w:rPr>
          <w:rFonts w:hint="default" w:ascii="Times New Roman" w:hAnsi="Times New Roman" w:eastAsia="SimSun" w:cs="Times New Roman"/>
          <w:sz w:val="24"/>
          <w:szCs w:val="24"/>
          <w:lang w:val="hr-HR"/>
        </w:rPr>
      </w:pPr>
      <w:r>
        <w:rPr>
          <w:rFonts w:hint="default" w:ascii="Times New Roman" w:hAnsi="Times New Roman" w:eastAsia="SimSun" w:cs="Times New Roman"/>
          <w:sz w:val="24"/>
          <w:szCs w:val="24"/>
        </w:rPr>
        <w:t xml:space="preserve">Mjesto pružanja usluge je cijelo područje Republike Hrvatske (unutarnji poštanski promet – uključujući otoke, slabije naseljena područja i brdska područja) i područje izvan Republike Hrvatske (međunarodni poštanski promet). Mjesto dostave i preuzimanja poštanskih pošiljaka je u sjedištu Naručitelja na adresi </w:t>
      </w:r>
      <w:r>
        <w:rPr>
          <w:rFonts w:hint="default" w:ascii="Times New Roman" w:hAnsi="Times New Roman" w:eastAsia="SimSun" w:cs="Times New Roman"/>
          <w:sz w:val="24"/>
          <w:szCs w:val="24"/>
          <w:lang w:val="hr-HR"/>
        </w:rPr>
        <w:t>Komunalno poduzeće d.o.o. Trg Oluje 9, 22300 Knin.</w:t>
      </w:r>
    </w:p>
    <w:p w14:paraId="0B5C8A5C">
      <w:pPr>
        <w:rPr>
          <w:rFonts w:hint="default" w:ascii="Times New Roman" w:hAnsi="Times New Roman" w:eastAsia="SimSun" w:cs="Times New Roman"/>
          <w:sz w:val="24"/>
          <w:szCs w:val="24"/>
          <w:lang w:val="hr-HR"/>
        </w:rPr>
      </w:pPr>
    </w:p>
    <w:p w14:paraId="1E2D4371">
      <w:pPr>
        <w:rPr>
          <w:rFonts w:cs="Times New Roman"/>
          <w:b/>
          <w:color w:val="auto"/>
        </w:rPr>
      </w:pPr>
      <w:r>
        <w:rPr>
          <w:rFonts w:cs="Times New Roman"/>
          <w:b/>
          <w:color w:val="auto"/>
        </w:rPr>
        <w:t>2.6. ROK POČETKA I ZAVRŠETKA IZVRŠENJA UGOVORA</w:t>
      </w:r>
    </w:p>
    <w:p w14:paraId="2B23EF81">
      <w:pPr>
        <w:pStyle w:val="9"/>
        <w:rPr>
          <w:rFonts w:hint="default" w:cs="Times New Roman"/>
          <w:spacing w:val="-2"/>
          <w:lang w:val="hr-HR"/>
        </w:rPr>
      </w:pPr>
      <w:bookmarkStart w:id="1" w:name="_Hlk77745397"/>
      <w:r>
        <w:rPr>
          <w:rFonts w:cs="Times New Roman"/>
          <w:spacing w:val="-2"/>
        </w:rPr>
        <w:t>Ugovor stupa na snagu danom potpisa obje ugovorne strane</w:t>
      </w:r>
      <w:r>
        <w:rPr>
          <w:rFonts w:hint="default" w:cs="Times New Roman"/>
          <w:spacing w:val="-2"/>
          <w:lang w:val="hr-HR"/>
        </w:rPr>
        <w:t>.</w:t>
      </w:r>
    </w:p>
    <w:p w14:paraId="101FDAC0">
      <w:pPr>
        <w:rPr>
          <w:rFonts w:hint="default" w:cs="Times New Roman"/>
          <w:spacing w:val="-2"/>
          <w:lang w:val="hr-HR"/>
        </w:rPr>
      </w:pPr>
      <w:r>
        <w:rPr>
          <w:rFonts w:cs="Times New Roman"/>
          <w:spacing w:val="-2"/>
        </w:rPr>
        <w:t xml:space="preserve">Ukupno očekivano trajanje </w:t>
      </w:r>
      <w:r>
        <w:rPr>
          <w:rFonts w:hint="default" w:cs="Times New Roman"/>
          <w:spacing w:val="-2"/>
          <w:lang w:val="hr-HR"/>
        </w:rPr>
        <w:t xml:space="preserve">ugovora je </w:t>
      </w:r>
      <w:r>
        <w:rPr>
          <w:rFonts w:cs="Times New Roman"/>
          <w:spacing w:val="-2"/>
        </w:rPr>
        <w:t xml:space="preserve"> </w:t>
      </w:r>
      <w:r>
        <w:rPr>
          <w:rFonts w:hint="default" w:cs="Times New Roman"/>
          <w:spacing w:val="-2"/>
          <w:lang w:val="hr-HR"/>
        </w:rPr>
        <w:t>12</w:t>
      </w:r>
      <w:r>
        <w:rPr>
          <w:rFonts w:cs="Times New Roman"/>
          <w:spacing w:val="-2"/>
        </w:rPr>
        <w:t xml:space="preserve"> mjeseci od </w:t>
      </w:r>
      <w:r>
        <w:rPr>
          <w:rFonts w:hint="default" w:cs="Times New Roman"/>
          <w:spacing w:val="-2"/>
          <w:lang w:val="hr-HR"/>
        </w:rPr>
        <w:t xml:space="preserve"> obostranog potpisivanja Ugovora</w:t>
      </w:r>
      <w:bookmarkEnd w:id="1"/>
      <w:r>
        <w:rPr>
          <w:rFonts w:hint="default" w:cs="Times New Roman"/>
          <w:spacing w:val="-2"/>
          <w:lang w:val="hr-HR"/>
        </w:rPr>
        <w:t>.</w:t>
      </w:r>
    </w:p>
    <w:p w14:paraId="76615613">
      <w:pPr>
        <w:rPr>
          <w:rFonts w:hint="default" w:ascii="Times New Roman" w:hAnsi="Times New Roman" w:cs="Times New Roman"/>
          <w:spacing w:val="-2"/>
          <w:lang w:val="hr-HR"/>
        </w:rPr>
      </w:pPr>
      <w:r>
        <w:rPr>
          <w:rFonts w:hint="default" w:ascii="Times New Roman" w:hAnsi="Times New Roman" w:eastAsia="SimSun" w:cs="Times New Roman"/>
          <w:sz w:val="24"/>
          <w:szCs w:val="24"/>
        </w:rPr>
        <w:t>Početak pružanja usluge moguć je odmah po potpisivanju ugovora, sukcesivno prema potrebama naručitelja, kroz cijelo vrijeme trajanja ugovora od 12 mjeseci.</w:t>
      </w:r>
    </w:p>
    <w:p w14:paraId="12096F91">
      <w:pPr>
        <w:pStyle w:val="2"/>
        <w:bidi w:val="0"/>
        <w:rPr>
          <w:rFonts w:hint="default"/>
          <w:lang w:val="hr-HR"/>
        </w:rPr>
      </w:pPr>
    </w:p>
    <w:p w14:paraId="3AE6287E">
      <w:pPr>
        <w:pStyle w:val="2"/>
        <w:bidi w:val="0"/>
        <w:rPr>
          <w:rFonts w:hint="default"/>
          <w:sz w:val="20"/>
          <w:szCs w:val="20"/>
          <w:lang w:val="hr-HR"/>
        </w:rPr>
      </w:pPr>
      <w:r>
        <w:rPr>
          <w:rFonts w:hint="default"/>
          <w:sz w:val="20"/>
          <w:szCs w:val="20"/>
          <w:lang w:val="hr-HR"/>
        </w:rPr>
        <w:t>2.6.1. ROK IZVRŠENJA USLUGA</w:t>
      </w:r>
    </w:p>
    <w:p w14:paraId="7A60081B">
      <w:pPr>
        <w:pStyle w:val="2"/>
        <w:bidi w:val="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 xml:space="preserve">Prijam pošiljaka koje šalje Naručitelj i dostava pošiljaka koje naručitelju isporučuje ponuditelj obavlja se na adresi Naručitelja, </w:t>
      </w:r>
      <w:r>
        <w:rPr>
          <w:rFonts w:hint="default" w:ascii="Times New Roman" w:hAnsi="Times New Roman" w:eastAsia="SimSun" w:cs="Times New Roman"/>
          <w:b w:val="0"/>
          <w:bCs w:val="0"/>
          <w:sz w:val="24"/>
          <w:szCs w:val="24"/>
          <w:lang w:val="hr-HR"/>
        </w:rPr>
        <w:t>Trg Oluje 9, 22300 Knin</w:t>
      </w:r>
      <w:r>
        <w:rPr>
          <w:rFonts w:hint="default" w:ascii="Times New Roman" w:hAnsi="Times New Roman" w:eastAsia="SimSun" w:cs="Times New Roman"/>
          <w:b w:val="0"/>
          <w:bCs w:val="0"/>
          <w:sz w:val="24"/>
          <w:szCs w:val="24"/>
        </w:rPr>
        <w:t xml:space="preserve">, svakog radnog dana između </w:t>
      </w:r>
      <w:r>
        <w:rPr>
          <w:rFonts w:hint="default" w:ascii="Times New Roman" w:hAnsi="Times New Roman" w:eastAsia="SimSun" w:cs="Times New Roman"/>
          <w:b w:val="0"/>
          <w:bCs w:val="0"/>
          <w:sz w:val="24"/>
          <w:szCs w:val="24"/>
          <w:lang w:val="hr-HR"/>
        </w:rPr>
        <w:t>9</w:t>
      </w:r>
      <w:r>
        <w:rPr>
          <w:rFonts w:hint="default" w:ascii="Times New Roman" w:hAnsi="Times New Roman" w:eastAsia="SimSun" w:cs="Times New Roman"/>
          <w:b w:val="0"/>
          <w:bCs w:val="0"/>
          <w:sz w:val="24"/>
          <w:szCs w:val="24"/>
        </w:rPr>
        <w:t>.00 – 1</w:t>
      </w:r>
      <w:r>
        <w:rPr>
          <w:rFonts w:hint="default" w:ascii="Times New Roman" w:hAnsi="Times New Roman" w:eastAsia="SimSun" w:cs="Times New Roman"/>
          <w:b w:val="0"/>
          <w:bCs w:val="0"/>
          <w:sz w:val="24"/>
          <w:szCs w:val="24"/>
          <w:lang w:val="hr-HR"/>
        </w:rPr>
        <w:t>2</w:t>
      </w:r>
      <w:r>
        <w:rPr>
          <w:rFonts w:hint="default" w:ascii="Times New Roman" w:hAnsi="Times New Roman" w:eastAsia="SimSun" w:cs="Times New Roman"/>
          <w:b w:val="0"/>
          <w:bCs w:val="0"/>
          <w:sz w:val="24"/>
          <w:szCs w:val="24"/>
        </w:rPr>
        <w:t>.00 sati.</w:t>
      </w:r>
    </w:p>
    <w:p w14:paraId="76686E7D">
      <w:pPr>
        <w:rPr>
          <w:rFonts w:hint="default" w:ascii="Times New Roman" w:hAnsi="Times New Roman" w:eastAsia="SimSun" w:cs="Times New Roman"/>
          <w:b w:val="0"/>
          <w:bCs w:val="0"/>
          <w:sz w:val="24"/>
          <w:szCs w:val="24"/>
        </w:rPr>
      </w:pPr>
    </w:p>
    <w:p w14:paraId="42C8D3C9">
      <w:pPr>
        <w:rPr>
          <w:rFonts w:hint="default" w:ascii="Times New Roman" w:hAnsi="Times New Roman" w:eastAsia="SimSun" w:cs="Times New Roman"/>
          <w:b/>
          <w:bCs/>
          <w:sz w:val="20"/>
          <w:szCs w:val="20"/>
          <w:lang w:val="hr-HR"/>
        </w:rPr>
      </w:pPr>
    </w:p>
    <w:p w14:paraId="75E38A77">
      <w:pPr>
        <w:rPr>
          <w:rFonts w:hint="default" w:ascii="Times New Roman" w:hAnsi="Times New Roman" w:eastAsia="SimSun" w:cs="Times New Roman"/>
          <w:b/>
          <w:bCs/>
          <w:sz w:val="20"/>
          <w:szCs w:val="20"/>
          <w:lang w:val="hr-HR"/>
        </w:rPr>
      </w:pPr>
    </w:p>
    <w:p w14:paraId="48C1B20E">
      <w:pPr>
        <w:rPr>
          <w:rFonts w:hint="default" w:ascii="Times New Roman" w:hAnsi="Times New Roman" w:eastAsia="SimSun" w:cs="Times New Roman"/>
          <w:b/>
          <w:bCs/>
          <w:sz w:val="20"/>
          <w:szCs w:val="20"/>
        </w:rPr>
      </w:pPr>
      <w:r>
        <w:rPr>
          <w:rFonts w:hint="default" w:ascii="Times New Roman" w:hAnsi="Times New Roman" w:eastAsia="SimSun" w:cs="Times New Roman"/>
          <w:b/>
          <w:bCs/>
          <w:sz w:val="20"/>
          <w:szCs w:val="20"/>
          <w:lang w:val="hr-HR"/>
        </w:rPr>
        <w:t xml:space="preserve">2.6.2. </w:t>
      </w:r>
      <w:r>
        <w:rPr>
          <w:rFonts w:hint="default" w:ascii="Times New Roman" w:hAnsi="Times New Roman" w:eastAsia="SimSun" w:cs="Times New Roman"/>
          <w:b/>
          <w:bCs/>
          <w:sz w:val="20"/>
          <w:szCs w:val="20"/>
        </w:rPr>
        <w:t xml:space="preserve">ROKOVI URUČENJA POŠILJAKA </w:t>
      </w:r>
    </w:p>
    <w:p w14:paraId="7FE70EE2">
      <w:pPr>
        <w:rPr>
          <w:rFonts w:hint="default" w:ascii="Times New Roman" w:hAnsi="Times New Roman" w:cs="Times New Roman"/>
          <w:lang w:val="hr-HR"/>
        </w:rPr>
      </w:pPr>
      <w:r>
        <w:rPr>
          <w:rFonts w:hint="default" w:ascii="Times New Roman" w:hAnsi="Times New Roman" w:eastAsia="SimSun" w:cs="Times New Roman"/>
          <w:sz w:val="24"/>
          <w:szCs w:val="24"/>
          <w:lang w:val="hr-HR"/>
        </w:rPr>
        <w:t>Z</w:t>
      </w:r>
      <w:r>
        <w:rPr>
          <w:rFonts w:hint="default" w:ascii="Times New Roman" w:hAnsi="Times New Roman" w:eastAsia="SimSun" w:cs="Times New Roman"/>
          <w:sz w:val="24"/>
          <w:szCs w:val="24"/>
        </w:rPr>
        <w:t>a poštanske usluge u unutarnjem prometu ponuditelj mora osigurati uručenje najmanje 85% poštanskih pošiljaka najbrže kategorije u roku od jednoga (1) radnog dana, odnosno 95% u roku od dva (2) radna dana, a za sve ostale pošiljke u unutarnjem prometu 95% u roku od tri (3) radna dana. - nakon dostave preporučene pošiljke, povratnice je potrebno vratiti na adresu naručitelja u roku od 5 radnih dana od dana isporuke pošiljke odnosno od dana proteka roka za podizanje pošiljke u poštanskom uredu ako pošiljka nije preuzeta. - za pošiljke koje se odnose na sudjelovanje u upravnim i drugim postupcima, postupanje s pošiljkama i uručenje mora biti u skladu s Zakonom o općem upravnom postupku, Općem poreznom zakonu i posebnim propisima koji reguliraju odvijanje tih postupaka. - za poštanske usluge u međunarodnom prometu s državama članicama EU ponuditelj mora osigurati uručenje 85% poštanskih pošiljaka najbrže kategorije u roku od četiri (4) radna dana odnosno 97% u roku od šest (6) radnih dana, a za druge države u okviru rokova propisanih aktima Svjetske poštanske unije. U rokove uručenja pošiljaka ne uračunavaju se: - dan prijama pošiljke, - vrijeme kašnjenja zbog netočne i nepotpune adrese primatelja, - vrijeme kašnjenja zbog više sile ili zastoja u prometu nastalog bez krivnje davatelje usluge i - neradni dani i dani kada se ne obavlja uručenje poštanskih pošiljaka.</w:t>
      </w:r>
    </w:p>
    <w:p w14:paraId="485D5779">
      <w:pPr>
        <w:ind w:left="0" w:leftChars="0" w:firstLine="0" w:firstLineChars="0"/>
        <w:rPr>
          <w:rFonts w:cs="Times New Roman"/>
          <w:b/>
          <w:color w:val="auto"/>
        </w:rPr>
      </w:pPr>
      <w:r>
        <w:rPr>
          <w:rFonts w:cs="Times New Roman"/>
          <w:b/>
          <w:color w:val="auto"/>
        </w:rPr>
        <w:t>2.7. ROK, NAČIN I UVJETI PLAĆANJA</w:t>
      </w:r>
    </w:p>
    <w:p w14:paraId="0F480A16">
      <w:pPr>
        <w:rPr>
          <w:rFonts w:hint="default" w:ascii="Times New Roman" w:hAnsi="Times New Roman" w:cs="Times New Roman"/>
          <w:color w:val="000000"/>
          <w:sz w:val="24"/>
          <w:szCs w:val="24"/>
        </w:rPr>
      </w:pPr>
      <w:r>
        <w:rPr>
          <w:rFonts w:hint="default" w:ascii="Times New Roman" w:hAnsi="Times New Roman" w:eastAsia="Segoe UI" w:cs="Times New Roman"/>
          <w:i w:val="0"/>
          <w:iCs w:val="0"/>
          <w:caps w:val="0"/>
          <w:color w:val="000000"/>
          <w:spacing w:val="0"/>
          <w:sz w:val="24"/>
          <w:szCs w:val="24"/>
          <w:shd w:val="clear" w:fill="FFFFFF"/>
        </w:rPr>
        <w:t xml:space="preserve">Naručitelj se obvezuje izvršiti plaćanje bezgotovinski na poslovni račun odabranog ponuditelja. </w:t>
      </w:r>
      <w:r>
        <w:rPr>
          <w:rFonts w:hint="default" w:ascii="Times New Roman" w:hAnsi="Times New Roman" w:eastAsia="Segoe UI" w:cs="Times New Roman"/>
          <w:i w:val="0"/>
          <w:iCs w:val="0"/>
          <w:caps w:val="0"/>
          <w:color w:val="auto"/>
          <w:spacing w:val="0"/>
          <w:sz w:val="24"/>
          <w:szCs w:val="24"/>
          <w:shd w:val="clear" w:fill="FFFFFF"/>
        </w:rPr>
        <w:t xml:space="preserve">Rok plaćanja je </w:t>
      </w:r>
      <w:r>
        <w:rPr>
          <w:rFonts w:hint="default" w:eastAsia="Segoe UI" w:cs="Times New Roman"/>
          <w:i w:val="0"/>
          <w:iCs w:val="0"/>
          <w:caps w:val="0"/>
          <w:color w:val="auto"/>
          <w:spacing w:val="0"/>
          <w:sz w:val="24"/>
          <w:szCs w:val="24"/>
          <w:shd w:val="clear" w:fill="FFFFFF"/>
          <w:lang w:val="hr-HR"/>
        </w:rPr>
        <w:t>1</w:t>
      </w:r>
      <w:r>
        <w:rPr>
          <w:rFonts w:hint="default" w:ascii="Times New Roman" w:hAnsi="Times New Roman" w:eastAsia="Segoe UI" w:cs="Times New Roman"/>
          <w:i w:val="0"/>
          <w:iCs w:val="0"/>
          <w:caps w:val="0"/>
          <w:color w:val="auto"/>
          <w:spacing w:val="0"/>
          <w:sz w:val="24"/>
          <w:szCs w:val="24"/>
          <w:shd w:val="clear" w:fill="FFFFFF"/>
        </w:rPr>
        <w:t>0 dana od dana ispostavljanja računa. Naručitelj ne predviđa plaćanje predujma (avansa). Sva plaćanja u slučaju zajedničke ponude, naručitelj će vršiti s nositeljem zajednice ponuditelja, osim ako zajednica ponuditelja u ponudi ne odluči drukčije.</w:t>
      </w:r>
      <w:r>
        <w:rPr>
          <w:rFonts w:hint="default" w:ascii="Times New Roman" w:hAnsi="Times New Roman" w:eastAsia="Segoe UI" w:cs="Times New Roman"/>
          <w:i w:val="0"/>
          <w:iCs w:val="0"/>
          <w:caps w:val="0"/>
          <w:color w:val="auto"/>
          <w:spacing w:val="0"/>
          <w:sz w:val="24"/>
          <w:szCs w:val="24"/>
          <w:shd w:val="clear" w:fill="FFFFFF"/>
        </w:rPr>
        <w:br w:type="textWrapping"/>
      </w:r>
      <w:r>
        <w:rPr>
          <w:rFonts w:hint="default" w:ascii="Times New Roman" w:hAnsi="Times New Roman" w:eastAsia="Segoe UI" w:cs="Times New Roman"/>
          <w:i w:val="0"/>
          <w:iCs w:val="0"/>
          <w:caps w:val="0"/>
          <w:color w:val="auto"/>
          <w:spacing w:val="0"/>
          <w:sz w:val="24"/>
          <w:szCs w:val="24"/>
          <w:shd w:val="clear" w:fill="FFFFFF"/>
        </w:rPr>
        <w:t>Predujam je isključen, kao i traženje sredstva osiguranja plaćanja od strane gospoda</w:t>
      </w:r>
      <w:r>
        <w:rPr>
          <w:rFonts w:hint="default" w:ascii="Times New Roman" w:hAnsi="Times New Roman" w:eastAsia="Segoe UI" w:cs="Times New Roman"/>
          <w:i w:val="0"/>
          <w:iCs w:val="0"/>
          <w:caps w:val="0"/>
          <w:color w:val="000000"/>
          <w:spacing w:val="0"/>
          <w:sz w:val="24"/>
          <w:szCs w:val="24"/>
          <w:shd w:val="clear" w:fill="FFFFFF"/>
        </w:rPr>
        <w:t>rskog subjekta.</w:t>
      </w:r>
      <w:r>
        <w:rPr>
          <w:rFonts w:hint="default" w:ascii="Times New Roman" w:hAnsi="Times New Roman" w:eastAsia="Segoe UI" w:cs="Times New Roman"/>
          <w:i w:val="0"/>
          <w:iCs w:val="0"/>
          <w:caps w:val="0"/>
          <w:color w:val="000000"/>
          <w:spacing w:val="0"/>
          <w:sz w:val="24"/>
          <w:szCs w:val="24"/>
          <w:shd w:val="clear" w:fill="FFFFFF"/>
        </w:rPr>
        <w:br w:type="textWrapping"/>
      </w:r>
      <w:r>
        <w:rPr>
          <w:rFonts w:hint="default" w:ascii="Times New Roman" w:hAnsi="Times New Roman" w:eastAsia="Segoe UI" w:cs="Times New Roman"/>
          <w:i w:val="0"/>
          <w:iCs w:val="0"/>
          <w:caps w:val="0"/>
          <w:color w:val="000000"/>
          <w:spacing w:val="0"/>
          <w:sz w:val="24"/>
          <w:szCs w:val="24"/>
          <w:shd w:val="clear" w:fill="FFFFFF"/>
        </w:rPr>
        <w:t>Na zakašnjele uplate odabrani ponuditelj ima pravo naručitelju obračunati zakonsku zateznu kamatu. U slučaju slanja opomene odabrani ponuditelj nema pravo na naplatu troškova opomena.</w:t>
      </w:r>
      <w:r>
        <w:rPr>
          <w:rFonts w:hint="default" w:ascii="Times New Roman" w:hAnsi="Times New Roman" w:eastAsia="Segoe UI" w:cs="Times New Roman"/>
          <w:i w:val="0"/>
          <w:iCs w:val="0"/>
          <w:caps w:val="0"/>
          <w:color w:val="000000"/>
          <w:spacing w:val="0"/>
          <w:sz w:val="24"/>
          <w:szCs w:val="24"/>
          <w:shd w:val="clear" w:fill="FFFFFF"/>
        </w:rPr>
        <w:br w:type="textWrapping"/>
      </w:r>
      <w:r>
        <w:rPr>
          <w:rFonts w:hint="default" w:ascii="Times New Roman" w:hAnsi="Times New Roman" w:eastAsia="Segoe UI" w:cs="Times New Roman"/>
          <w:i w:val="0"/>
          <w:iCs w:val="0"/>
          <w:caps w:val="0"/>
          <w:color w:val="000000"/>
          <w:spacing w:val="0"/>
          <w:sz w:val="24"/>
          <w:szCs w:val="24"/>
          <w:shd w:val="clear" w:fill="FFFFFF"/>
        </w:rPr>
        <w:t>Na zaprimanje, obradu i plaćanje računa primjenjuje se Zakon o elektroničkom izdavanju računa u javnoj nabavi (NN 94/18).</w:t>
      </w:r>
    </w:p>
    <w:p w14:paraId="2B3C6E39">
      <w:pPr>
        <w:rPr>
          <w:rFonts w:cs="Times New Roman"/>
          <w:b/>
          <w:bCs/>
          <w:color w:val="000000"/>
        </w:rPr>
      </w:pPr>
      <w:r>
        <w:rPr>
          <w:rFonts w:cs="Times New Roman"/>
          <w:b/>
          <w:bCs/>
          <w:color w:val="000000"/>
        </w:rPr>
        <w:t>Sukladno Zakonu o elektroničkom izdavanju računa u javnoj nabavi, Izvoditelj se obvezuje dostaviti Naručitelju isključivo eRačun.</w:t>
      </w:r>
    </w:p>
    <w:p w14:paraId="00B19CB1">
      <w:pPr>
        <w:rPr>
          <w:rFonts w:cs="Times New Roman"/>
          <w:b/>
          <w:bCs/>
          <w:color w:val="000000"/>
        </w:rPr>
      </w:pPr>
    </w:p>
    <w:p w14:paraId="14511084">
      <w:pPr>
        <w:rPr>
          <w:rFonts w:cs="Times New Roman"/>
        </w:rPr>
      </w:pPr>
    </w:p>
    <w:p w14:paraId="5C414E8B">
      <w:pPr>
        <w:rPr>
          <w:rFonts w:cs="Times New Roman"/>
        </w:rPr>
      </w:pPr>
    </w:p>
    <w:p w14:paraId="0F95F450">
      <w:pPr>
        <w:rPr>
          <w:rFonts w:cs="Times New Roman"/>
        </w:rPr>
      </w:pPr>
    </w:p>
    <w:p w14:paraId="0B1B2833">
      <w:pPr>
        <w:rPr>
          <w:rFonts w:cs="Times New Roman"/>
        </w:rPr>
      </w:pPr>
    </w:p>
    <w:p w14:paraId="78D31B7F">
      <w:pPr>
        <w:rPr>
          <w:rFonts w:cs="Times New Roman"/>
        </w:rPr>
      </w:pPr>
    </w:p>
    <w:p w14:paraId="6EC0D69C">
      <w:pPr>
        <w:rPr>
          <w:rFonts w:cs="Times New Roman"/>
        </w:rPr>
      </w:pPr>
    </w:p>
    <w:p w14:paraId="049A94BD">
      <w:pPr>
        <w:rPr>
          <w:rFonts w:cs="Times New Roman"/>
        </w:rPr>
      </w:pPr>
    </w:p>
    <w:p w14:paraId="02F9369D">
      <w:pPr>
        <w:pStyle w:val="100"/>
        <w:spacing w:line="276" w:lineRule="auto"/>
        <w:jc w:val="both"/>
        <w:rPr>
          <w:b/>
          <w:color w:val="auto"/>
        </w:rPr>
      </w:pPr>
      <w:r>
        <w:rPr>
          <w:b/>
          <w:color w:val="auto"/>
        </w:rPr>
        <w:t>2.8. NAČIN DOSTAVE PONUDE:</w:t>
      </w:r>
    </w:p>
    <w:p w14:paraId="2DB0E51A">
      <w:pPr>
        <w:pStyle w:val="100"/>
        <w:spacing w:line="276" w:lineRule="auto"/>
        <w:jc w:val="both"/>
      </w:pPr>
    </w:p>
    <w:p w14:paraId="0AD91C45">
      <w:pPr>
        <w:ind w:left="-5" w:right="1"/>
        <w:rPr>
          <w:rFonts w:cs="Times New Roman"/>
        </w:rPr>
      </w:pPr>
      <w:r>
        <w:rPr>
          <w:rFonts w:cs="Times New Roman"/>
          <w:b/>
          <w:u w:val="single" w:color="000000"/>
        </w:rPr>
        <w:t xml:space="preserve">Ponuda se dostavlja </w:t>
      </w:r>
      <w:r>
        <w:rPr>
          <w:rFonts w:hint="default" w:cs="Times New Roman"/>
          <w:b/>
          <w:u w:val="single" w:color="000000"/>
          <w:lang w:val="hr-HR"/>
        </w:rPr>
        <w:t xml:space="preserve">putem EOJN-a RH  </w:t>
      </w:r>
      <w:r>
        <w:rPr>
          <w:rFonts w:cs="Times New Roman"/>
        </w:rPr>
        <w:t xml:space="preserve"> prije isteka roka za dostavu ponuda. </w:t>
      </w:r>
    </w:p>
    <w:p w14:paraId="277D6802">
      <w:pPr>
        <w:ind w:left="-5" w:right="1"/>
        <w:rPr>
          <w:rFonts w:hint="default" w:cs="Times New Roman"/>
          <w:lang w:val="hr-HR"/>
        </w:rPr>
      </w:pPr>
      <w:r>
        <w:rPr>
          <w:rFonts w:hint="default" w:cs="Times New Roman"/>
          <w:lang w:val="hr-HR"/>
        </w:rPr>
        <w:t>Dio ili dijelovi ponude koji se dostavljanju odvojeno (ako je primjenjivo), predajom u zatvorenoj omotnici, s time da zatvorenu omotnicu ponuditelj predaje neposredno ili preporučenom poštanskom pošiljkom na adresu Naručitelja:</w:t>
      </w:r>
    </w:p>
    <w:p w14:paraId="46451F15">
      <w:pPr>
        <w:ind w:left="-5" w:right="1"/>
        <w:rPr>
          <w:rFonts w:hint="default" w:cs="Times New Roman"/>
          <w:b/>
          <w:bCs/>
          <w:u w:val="none"/>
          <w:lang w:val="hr-HR"/>
        </w:rPr>
      </w:pPr>
      <w:r>
        <w:rPr>
          <w:rFonts w:hint="default" w:cs="Times New Roman"/>
          <w:u w:val="single"/>
          <w:lang w:val="hr-HR"/>
        </w:rPr>
        <w:t xml:space="preserve">Na prednjoj strani: </w:t>
      </w:r>
      <w:r>
        <w:rPr>
          <w:rFonts w:hint="default" w:cs="Times New Roman"/>
          <w:u w:val="none"/>
          <w:lang w:val="hr-HR"/>
        </w:rPr>
        <w:t xml:space="preserve"> </w:t>
      </w:r>
      <w:r>
        <w:rPr>
          <w:rFonts w:hint="default" w:cs="Times New Roman"/>
          <w:b/>
          <w:bCs/>
          <w:u w:val="none"/>
          <w:lang w:val="hr-HR"/>
        </w:rPr>
        <w:t>KOMUNALNO PODUZEĆE d.o.o.</w:t>
      </w:r>
    </w:p>
    <w:p w14:paraId="419A60EC">
      <w:pPr>
        <w:ind w:left="-5" w:right="1"/>
        <w:rPr>
          <w:rFonts w:hint="default" w:cs="Times New Roman"/>
          <w:b/>
          <w:bCs/>
          <w:u w:val="none"/>
          <w:lang w:val="hr-HR"/>
        </w:rPr>
      </w:pPr>
      <w:r>
        <w:rPr>
          <w:rFonts w:hint="default" w:cs="Times New Roman"/>
          <w:b/>
          <w:bCs/>
          <w:u w:val="none"/>
          <w:lang w:val="hr-HR"/>
        </w:rPr>
        <w:t xml:space="preserve">                                Trg Oluje 5.kolovoza, 1995.godine</w:t>
      </w:r>
    </w:p>
    <w:p w14:paraId="28E3189F">
      <w:pPr>
        <w:ind w:left="-5" w:right="1"/>
        <w:rPr>
          <w:rFonts w:hint="default" w:cs="Times New Roman"/>
          <w:b/>
          <w:bCs/>
          <w:u w:val="none"/>
          <w:lang w:val="hr-HR"/>
        </w:rPr>
      </w:pPr>
      <w:r>
        <w:rPr>
          <w:rFonts w:hint="default" w:cs="Times New Roman"/>
          <w:b/>
          <w:bCs/>
          <w:u w:val="none"/>
          <w:lang w:val="hr-HR"/>
        </w:rPr>
        <w:t xml:space="preserve">                                22300 Knin</w:t>
      </w:r>
    </w:p>
    <w:p w14:paraId="30CF7872">
      <w:pPr>
        <w:ind w:right="1" w:firstLine="1921" w:firstLineChars="800"/>
        <w:rPr>
          <w:rFonts w:hint="default" w:cs="Times New Roman"/>
          <w:b/>
          <w:bCs/>
          <w:u w:val="none"/>
          <w:lang w:val="hr-HR"/>
        </w:rPr>
      </w:pPr>
      <w:r>
        <w:rPr>
          <w:rFonts w:hint="default" w:cs="Times New Roman"/>
          <w:b/>
          <w:bCs/>
          <w:u w:val="none"/>
          <w:lang w:val="hr-HR"/>
        </w:rPr>
        <w:t xml:space="preserve">DIO/DIJELOVI PONUDE KOJI SE DOSTAVLJAJU ODVOJENO </w:t>
      </w:r>
    </w:p>
    <w:p w14:paraId="148CEC35">
      <w:pPr>
        <w:ind w:left="-5" w:right="1" w:firstLine="1921" w:firstLineChars="800"/>
        <w:rPr>
          <w:rFonts w:hint="default" w:cs="Times New Roman"/>
          <w:b/>
          <w:bCs/>
          <w:u w:val="none"/>
          <w:lang w:val="hr-HR"/>
        </w:rPr>
      </w:pPr>
      <w:r>
        <w:rPr>
          <w:rFonts w:hint="default" w:cs="Times New Roman"/>
          <w:b/>
          <w:bCs/>
          <w:u w:val="none"/>
          <w:lang w:val="hr-HR"/>
        </w:rPr>
        <w:t xml:space="preserve">Predmet nabave : Poštanske usluge </w:t>
      </w:r>
    </w:p>
    <w:p w14:paraId="370BACE7">
      <w:pPr>
        <w:ind w:left="-5" w:right="1" w:firstLine="1921" w:firstLineChars="800"/>
        <w:rPr>
          <w:rFonts w:hint="default" w:cs="Times New Roman"/>
          <w:b/>
          <w:bCs/>
          <w:u w:val="none"/>
          <w:lang w:val="hr-HR"/>
        </w:rPr>
      </w:pPr>
      <w:r>
        <w:rPr>
          <w:rFonts w:hint="default" w:cs="Times New Roman"/>
          <w:b/>
          <w:bCs/>
          <w:u w:val="none"/>
          <w:lang w:val="hr-HR"/>
        </w:rPr>
        <w:t>Evidencijski broj nabave : JN-13/2025</w:t>
      </w:r>
    </w:p>
    <w:p w14:paraId="4BF131B6">
      <w:pPr>
        <w:ind w:left="-5" w:right="1" w:firstLine="2640" w:firstLineChars="1100"/>
        <w:rPr>
          <w:rFonts w:hint="default" w:cs="Times New Roman"/>
          <w:u w:val="none"/>
          <w:lang w:val="hr-HR"/>
        </w:rPr>
      </w:pPr>
      <w:r>
        <w:rPr>
          <w:rFonts w:hint="default" w:cs="Times New Roman"/>
          <w:u w:val="none"/>
          <w:lang w:val="hr-HR"/>
        </w:rPr>
        <w:t>“NE OTVARAJ”</w:t>
      </w:r>
    </w:p>
    <w:p w14:paraId="31F15825">
      <w:pPr>
        <w:ind w:right="1"/>
        <w:rPr>
          <w:rFonts w:hint="default" w:cs="Times New Roman"/>
          <w:b/>
          <w:bCs/>
          <w:u w:val="none"/>
          <w:lang w:val="hr-HR"/>
        </w:rPr>
      </w:pPr>
      <w:r>
        <w:rPr>
          <w:rFonts w:hint="default" w:cs="Times New Roman"/>
          <w:u w:val="single"/>
          <w:lang w:val="hr-HR"/>
        </w:rPr>
        <w:t xml:space="preserve">Na poleđini : </w:t>
      </w:r>
      <w:r>
        <w:rPr>
          <w:rFonts w:hint="default" w:cs="Times New Roman"/>
          <w:u w:val="none"/>
          <w:lang w:val="hr-HR"/>
        </w:rPr>
        <w:t xml:space="preserve"> </w:t>
      </w:r>
      <w:r>
        <w:rPr>
          <w:rFonts w:hint="default" w:cs="Times New Roman"/>
          <w:b/>
          <w:bCs/>
          <w:u w:val="none"/>
          <w:lang w:val="hr-HR"/>
        </w:rPr>
        <w:t>Naziv i adresa ponuditelja/ zajednice ponuditelja</w:t>
      </w:r>
    </w:p>
    <w:p w14:paraId="37B01525">
      <w:pPr>
        <w:ind w:right="1"/>
        <w:rPr>
          <w:rFonts w:hint="default" w:cs="Times New Roman"/>
          <w:u w:val="none"/>
          <w:lang w:val="hr-HR"/>
        </w:rPr>
      </w:pPr>
    </w:p>
    <w:p w14:paraId="7B2F31D0">
      <w:pPr>
        <w:ind w:right="1"/>
        <w:rPr>
          <w:rFonts w:hint="default" w:cs="Times New Roman"/>
          <w:u w:val="none"/>
          <w:lang w:val="hr-HR"/>
        </w:rPr>
      </w:pPr>
      <w:r>
        <w:rPr>
          <w:rFonts w:hint="default" w:cs="Times New Roman"/>
          <w:u w:val="none"/>
          <w:lang w:val="hr-HR"/>
        </w:rPr>
        <w:t>Dokumenti koji važeći samo u izvorniku, moraju biti dostavljeni bez oštećenja nastalih bušenjem, klamanjem ili slično.</w:t>
      </w:r>
    </w:p>
    <w:p w14:paraId="3CD704B9">
      <w:pPr>
        <w:ind w:right="1"/>
        <w:rPr>
          <w:rFonts w:hint="default" w:cs="Times New Roman"/>
          <w:u w:val="none"/>
          <w:lang w:val="hr-HR"/>
        </w:rPr>
      </w:pPr>
      <w:r>
        <w:rPr>
          <w:rFonts w:hint="default" w:cs="Times New Roman"/>
          <w:u w:val="none"/>
          <w:lang w:val="hr-HR"/>
        </w:rPr>
        <w:t xml:space="preserve">Ponuditelj samostalno određuje način dostave dijela/dijelova ponude koji se dostavljaju u papirnato obliku i sam snosi rizik eventualnog gubitka odnosnonepravovremene dostave. </w:t>
      </w:r>
    </w:p>
    <w:p w14:paraId="117834A7">
      <w:pPr>
        <w:spacing w:after="0" w:line="259" w:lineRule="auto"/>
        <w:jc w:val="left"/>
        <w:rPr>
          <w:rFonts w:cs="Times New Roman"/>
        </w:rPr>
      </w:pPr>
      <w:r>
        <w:rPr>
          <w:rFonts w:cs="Times New Roman"/>
        </w:rPr>
        <w:t xml:space="preserve"> </w:t>
      </w:r>
    </w:p>
    <w:p w14:paraId="4B88A1E4">
      <w:pPr>
        <w:pBdr>
          <w:top w:val="single" w:color="000000" w:sz="4" w:space="0"/>
          <w:left w:val="single" w:color="000000" w:sz="4" w:space="0"/>
          <w:bottom w:val="single" w:color="000000" w:sz="4" w:space="0"/>
          <w:right w:val="single" w:color="000000" w:sz="4" w:space="0"/>
        </w:pBdr>
        <w:shd w:val="clear" w:color="auto" w:fill="B8CCE4"/>
        <w:spacing w:after="72" w:line="259" w:lineRule="auto"/>
        <w:ind w:left="159"/>
        <w:jc w:val="left"/>
        <w:rPr>
          <w:rFonts w:cs="Times New Roman"/>
        </w:rPr>
      </w:pPr>
      <w:r>
        <w:rPr>
          <w:rFonts w:cs="Times New Roman"/>
          <w:b/>
        </w:rPr>
        <w:t xml:space="preserve">Krajnji rok za dostavu ponuda je najkasnije </w:t>
      </w:r>
      <w:r>
        <w:rPr>
          <w:rFonts w:hint="default" w:cs="Times New Roman"/>
          <w:b/>
          <w:lang w:val="hr-HR"/>
        </w:rPr>
        <w:t>16.04</w:t>
      </w:r>
      <w:r>
        <w:rPr>
          <w:rFonts w:cs="Times New Roman"/>
          <w:b/>
        </w:rPr>
        <w:t>.202</w:t>
      </w:r>
      <w:r>
        <w:rPr>
          <w:rFonts w:hint="default" w:cs="Times New Roman"/>
          <w:b/>
          <w:lang w:val="hr-HR"/>
        </w:rPr>
        <w:t>5</w:t>
      </w:r>
      <w:r>
        <w:rPr>
          <w:rFonts w:cs="Times New Roman"/>
          <w:b/>
        </w:rPr>
        <w:t xml:space="preserve">. godine do 12:00 sati. </w:t>
      </w:r>
    </w:p>
    <w:p w14:paraId="53B77CA5">
      <w:pPr>
        <w:spacing w:after="0" w:line="259" w:lineRule="auto"/>
        <w:jc w:val="left"/>
        <w:rPr>
          <w:rFonts w:cs="Times New Roman"/>
        </w:rPr>
      </w:pPr>
      <w:r>
        <w:rPr>
          <w:rFonts w:cs="Times New Roman"/>
        </w:rPr>
        <w:t xml:space="preserve"> </w:t>
      </w:r>
    </w:p>
    <w:p w14:paraId="4135B775">
      <w:pPr>
        <w:ind w:left="-5" w:right="1"/>
        <w:rPr>
          <w:rFonts w:cs="Times New Roman"/>
        </w:rPr>
      </w:pPr>
      <w:r>
        <w:rPr>
          <w:rFonts w:cs="Times New Roman"/>
        </w:rPr>
        <w:t>Otvaranje ponuda održati će se</w:t>
      </w:r>
      <w:r>
        <w:rPr>
          <w:rFonts w:cs="Times New Roman"/>
          <w:b/>
          <w:bCs/>
          <w:u w:val="single" w:color="auto"/>
        </w:rPr>
        <w:t xml:space="preserve"> </w:t>
      </w:r>
      <w:r>
        <w:rPr>
          <w:rFonts w:hint="default" w:cs="Times New Roman"/>
          <w:b/>
          <w:bCs/>
          <w:u w:val="single" w:color="auto"/>
          <w:lang w:val="hr-HR"/>
        </w:rPr>
        <w:t>16.04</w:t>
      </w:r>
      <w:r>
        <w:rPr>
          <w:rFonts w:cs="Times New Roman"/>
          <w:b/>
          <w:bCs/>
          <w:u w:val="single" w:color="auto"/>
        </w:rPr>
        <w:t>.202</w:t>
      </w:r>
      <w:r>
        <w:rPr>
          <w:rFonts w:hint="default" w:cs="Times New Roman"/>
          <w:b/>
          <w:bCs/>
          <w:u w:val="single" w:color="auto"/>
          <w:lang w:val="hr-HR"/>
        </w:rPr>
        <w:t>5</w:t>
      </w:r>
      <w:r>
        <w:rPr>
          <w:rFonts w:cs="Times New Roman"/>
          <w:b/>
          <w:bCs/>
          <w:u w:val="single" w:color="auto"/>
        </w:rPr>
        <w:t>. g</w:t>
      </w:r>
      <w:r>
        <w:rPr>
          <w:rFonts w:cs="Times New Roman"/>
          <w:b/>
          <w:u w:val="single" w:color="000000"/>
        </w:rPr>
        <w:t>odine s početkom u 12:00 sati</w:t>
      </w:r>
      <w:r>
        <w:rPr>
          <w:rFonts w:cs="Times New Roman"/>
        </w:rPr>
        <w:t xml:space="preserve"> u prostorijama Naručitelja. </w:t>
      </w:r>
    </w:p>
    <w:p w14:paraId="44CBE476">
      <w:pPr>
        <w:ind w:left="-5" w:right="1"/>
        <w:rPr>
          <w:rFonts w:cs="Times New Roman"/>
        </w:rPr>
      </w:pPr>
      <w:r>
        <w:rPr>
          <w:rFonts w:cs="Times New Roman"/>
        </w:rPr>
        <w:t xml:space="preserve">Otvaranje ponuda nije javno. </w:t>
      </w:r>
    </w:p>
    <w:p w14:paraId="64F1640D">
      <w:pPr>
        <w:spacing w:after="8" w:line="259" w:lineRule="auto"/>
        <w:jc w:val="left"/>
        <w:rPr>
          <w:rFonts w:cs="Times New Roman"/>
        </w:rPr>
      </w:pPr>
      <w:r>
        <w:rPr>
          <w:rFonts w:cs="Times New Roman"/>
        </w:rPr>
        <w:t xml:space="preserve"> </w:t>
      </w:r>
      <w:bookmarkStart w:id="3" w:name="_GoBack"/>
      <w:bookmarkEnd w:id="3"/>
    </w:p>
    <w:p w14:paraId="1B982E47">
      <w:pPr>
        <w:pStyle w:val="100"/>
        <w:spacing w:line="276" w:lineRule="auto"/>
      </w:pPr>
      <w:r>
        <w:rPr>
          <w:b/>
          <w:color w:val="auto"/>
        </w:rPr>
        <w:t>2.9. VALUTA PONUDE:</w:t>
      </w:r>
      <w:r>
        <w:rPr>
          <w:b/>
          <w:bCs/>
          <w:color w:val="auto"/>
        </w:rPr>
        <w:t xml:space="preserve">  </w:t>
      </w:r>
      <w:r>
        <w:t>Cijene se izražavaju u eurima.</w:t>
      </w:r>
    </w:p>
    <w:p w14:paraId="5A1B2B87">
      <w:pPr>
        <w:pStyle w:val="100"/>
        <w:spacing w:line="276" w:lineRule="auto"/>
      </w:pPr>
    </w:p>
    <w:p w14:paraId="38340E52">
      <w:pPr>
        <w:pStyle w:val="100"/>
        <w:tabs>
          <w:tab w:val="left" w:pos="2280"/>
        </w:tabs>
        <w:spacing w:line="276" w:lineRule="auto"/>
      </w:pPr>
    </w:p>
    <w:p w14:paraId="40161FEE">
      <w:pPr>
        <w:pStyle w:val="100"/>
        <w:spacing w:line="276" w:lineRule="auto"/>
        <w:rPr>
          <w:b/>
        </w:rPr>
      </w:pPr>
      <w:r>
        <w:rPr>
          <w:b/>
        </w:rPr>
        <w:t xml:space="preserve">2.10. JEZIK I PISMO PONUDE: </w:t>
      </w:r>
    </w:p>
    <w:p w14:paraId="2BD3B385">
      <w:pPr>
        <w:pStyle w:val="100"/>
        <w:spacing w:line="276" w:lineRule="auto"/>
        <w:jc w:val="both"/>
      </w:pPr>
      <w:r>
        <w:t>Ponuda se u cijelosti dostavlja na hrvatskom jeziku i latiničnom pismu.</w:t>
      </w:r>
    </w:p>
    <w:p w14:paraId="60FAF042">
      <w:pPr>
        <w:pStyle w:val="100"/>
        <w:spacing w:line="276" w:lineRule="auto"/>
        <w:jc w:val="both"/>
      </w:pPr>
    </w:p>
    <w:p w14:paraId="47EBA643">
      <w:pPr>
        <w:pStyle w:val="100"/>
        <w:spacing w:line="276" w:lineRule="auto"/>
        <w:jc w:val="both"/>
      </w:pPr>
    </w:p>
    <w:p w14:paraId="5F61B83A">
      <w:pPr>
        <w:pStyle w:val="100"/>
        <w:spacing w:line="276" w:lineRule="auto"/>
        <w:jc w:val="both"/>
      </w:pPr>
    </w:p>
    <w:p w14:paraId="739AC8C9">
      <w:pPr>
        <w:pStyle w:val="100"/>
        <w:spacing w:line="276" w:lineRule="auto"/>
        <w:jc w:val="both"/>
        <w:rPr>
          <w:b/>
          <w:bCs/>
          <w:color w:val="FF0000"/>
          <w:sz w:val="20"/>
          <w:szCs w:val="20"/>
        </w:rPr>
      </w:pPr>
    </w:p>
    <w:p w14:paraId="43B22E9D">
      <w:pPr>
        <w:pStyle w:val="100"/>
        <w:spacing w:line="276" w:lineRule="auto"/>
        <w:rPr>
          <w:b/>
          <w:bCs/>
        </w:rPr>
      </w:pPr>
      <w:r>
        <w:rPr>
          <w:b/>
        </w:rPr>
        <w:t>2.11. ROK VALJANOSTI PONUDE:</w:t>
      </w:r>
      <w:r>
        <w:rPr>
          <w:b/>
          <w:bCs/>
        </w:rPr>
        <w:t xml:space="preserve"> </w:t>
      </w:r>
    </w:p>
    <w:p w14:paraId="1415AE33">
      <w:pPr>
        <w:pStyle w:val="100"/>
        <w:spacing w:line="276" w:lineRule="auto"/>
      </w:pPr>
      <w:r>
        <w:t xml:space="preserve">Minimalno </w:t>
      </w:r>
      <w:r>
        <w:rPr>
          <w:b/>
        </w:rPr>
        <w:t>60 dana</w:t>
      </w:r>
      <w:r>
        <w:t xml:space="preserve"> od dana isteka roka za dostavu ponude.</w:t>
      </w:r>
    </w:p>
    <w:p w14:paraId="73C25C21">
      <w:pPr>
        <w:pStyle w:val="100"/>
        <w:spacing w:line="276" w:lineRule="auto"/>
      </w:pPr>
    </w:p>
    <w:p w14:paraId="025556ED">
      <w:pPr>
        <w:rPr>
          <w:rFonts w:cs="Times New Roman"/>
          <w:b/>
          <w:lang w:val="hr-HR" w:eastAsia="hr-HR" w:bidi="ar-SA"/>
        </w:rPr>
      </w:pPr>
      <w:r>
        <w:rPr>
          <w:rFonts w:cs="Times New Roman"/>
          <w:b/>
          <w:lang w:val="hr-HR" w:eastAsia="hr-HR" w:bidi="ar-SA"/>
        </w:rPr>
        <w:t>2.12. SADRŽAJ PONUDE</w:t>
      </w:r>
    </w:p>
    <w:p w14:paraId="1EF47C2B">
      <w:pPr>
        <w:rPr>
          <w:rFonts w:cs="Times New Roman"/>
          <w:lang w:val="hr-HR" w:eastAsia="hr-HR" w:bidi="ar-SA"/>
        </w:rPr>
      </w:pPr>
      <w:r>
        <w:rPr>
          <w:rFonts w:cs="Times New Roman"/>
          <w:b/>
          <w:lang w:val="hr-HR" w:eastAsia="hr-HR" w:bidi="ar-SA"/>
        </w:rPr>
        <w:t xml:space="preserve"> </w:t>
      </w:r>
      <w:r>
        <w:rPr>
          <w:rFonts w:cs="Times New Roman"/>
          <w:lang w:val="hr-HR" w:eastAsia="hr-HR" w:bidi="ar-SA"/>
        </w:rPr>
        <w:t>Dostavljena ponuda mora sadržavati:</w:t>
      </w:r>
    </w:p>
    <w:p w14:paraId="244C4EB3">
      <w:pPr>
        <w:rPr>
          <w:rFonts w:cs="Times New Roman"/>
          <w:lang w:val="hr-HR" w:eastAsia="hr-HR" w:bidi="ar-SA"/>
        </w:rPr>
      </w:pPr>
      <w:r>
        <w:rPr>
          <w:rFonts w:cs="Times New Roman"/>
          <w:lang w:val="hr-HR" w:eastAsia="hr-HR" w:bidi="ar-SA"/>
        </w:rPr>
        <w:t xml:space="preserve">- Popunjen Ponudbeni list  (Prilog 1) </w:t>
      </w:r>
    </w:p>
    <w:p w14:paraId="1E73E1AD">
      <w:pPr>
        <w:rPr>
          <w:rFonts w:cs="Times New Roman"/>
          <w:lang w:val="hr-HR" w:eastAsia="hr-HR" w:bidi="ar-SA"/>
        </w:rPr>
      </w:pPr>
      <w:r>
        <w:rPr>
          <w:rFonts w:cs="Times New Roman"/>
          <w:lang w:val="hr-HR" w:eastAsia="hr-HR" w:bidi="ar-SA"/>
        </w:rPr>
        <w:t>- Popunjen i ovjeren Troškovnik (Prilog 2)</w:t>
      </w:r>
    </w:p>
    <w:p w14:paraId="5EA5699C">
      <w:pPr>
        <w:rPr>
          <w:rFonts w:cs="Times New Roman"/>
        </w:rPr>
      </w:pPr>
      <w:r>
        <w:rPr>
          <w:rFonts w:cs="Times New Roman"/>
          <w:color w:val="auto"/>
          <w:lang w:val="hr-HR" w:eastAsia="hr-HR" w:bidi="ar-SA"/>
        </w:rPr>
        <w:t xml:space="preserve">- </w:t>
      </w:r>
      <w:r>
        <w:rPr>
          <w:rFonts w:cs="Times New Roman"/>
        </w:rPr>
        <w:t>Dokumenti kojima ponuditelj dokazuje da ne postoje obvezni razlozi isključenja iz točke 3.1. Poziva – Prilog 3. (Izjava o nekažnjavanju) i dr.</w:t>
      </w:r>
    </w:p>
    <w:p w14:paraId="2CDA67ED">
      <w:pPr>
        <w:suppressAutoHyphens w:val="0"/>
        <w:spacing w:before="240" w:after="0"/>
        <w:rPr>
          <w:rFonts w:cs="Times New Roman"/>
          <w:szCs w:val="24"/>
        </w:rPr>
      </w:pPr>
      <w:r>
        <w:rPr>
          <w:rFonts w:cs="Times New Roman"/>
          <w:color w:val="auto"/>
          <w:szCs w:val="24"/>
          <w:lang w:val="hr-HR" w:eastAsia="hr-HR" w:bidi="ar-SA"/>
        </w:rPr>
        <w:t xml:space="preserve">- </w:t>
      </w:r>
      <w:r>
        <w:rPr>
          <w:rFonts w:cs="Times New Roman"/>
          <w:szCs w:val="24"/>
        </w:rPr>
        <w:t>Dokumenti kojima ponuditelj dokazuje da ispunjava uvjete sposobnosti iz točke 3.2. Poziva</w:t>
      </w:r>
    </w:p>
    <w:p w14:paraId="68865424">
      <w:pPr>
        <w:rPr>
          <w:rFonts w:cs="Times New Roman"/>
          <w:lang w:val="hr-HR" w:eastAsia="hr-HR" w:bidi="ar-SA"/>
        </w:rPr>
      </w:pPr>
    </w:p>
    <w:p w14:paraId="2099F01D">
      <w:pPr>
        <w:rPr>
          <w:rFonts w:cs="Times New Roman"/>
          <w:b/>
          <w:lang w:val="hr-HR" w:eastAsia="hr-HR" w:bidi="ar-SA"/>
        </w:rPr>
      </w:pPr>
      <w:r>
        <w:rPr>
          <w:rFonts w:cs="Times New Roman"/>
          <w:b/>
          <w:lang w:val="hr-HR" w:eastAsia="hr-HR" w:bidi="ar-SA"/>
        </w:rPr>
        <w:t>2.13. KRITERIJ ZA ODABIR PONUDE</w:t>
      </w:r>
    </w:p>
    <w:p w14:paraId="4C9D4779">
      <w:pPr>
        <w:rPr>
          <w:rFonts w:cs="Times New Roman"/>
          <w:lang w:val="hr-HR" w:eastAsia="hr-HR" w:bidi="ar-SA"/>
        </w:rPr>
      </w:pPr>
      <w:r>
        <w:rPr>
          <w:rFonts w:cs="Times New Roman"/>
          <w:lang w:val="hr-HR" w:eastAsia="hr-HR" w:bidi="ar-SA"/>
        </w:rPr>
        <w:t xml:space="preserve">Kriterij za odabir najpovoljnije ponude je najniža cijena. </w:t>
      </w:r>
    </w:p>
    <w:p w14:paraId="48CBDCFA">
      <w:pPr>
        <w:rPr>
          <w:rFonts w:cs="Times New Roman"/>
          <w:lang w:val="hr-HR" w:eastAsia="hr-HR" w:bidi="ar-SA"/>
        </w:rPr>
      </w:pPr>
      <w:r>
        <w:rPr>
          <w:rFonts w:cs="Times New Roman"/>
          <w:lang w:val="hr-HR" w:eastAsia="hr-HR" w:bidi="ar-SA"/>
        </w:rPr>
        <w:t xml:space="preserve">Naručitelj će kao najpovoljniju ponudu izabrati valjanu ponudu sposobnog ponuditelja s </w:t>
      </w:r>
      <w:r>
        <w:rPr>
          <w:rFonts w:cs="Times New Roman"/>
          <w:color w:val="auto"/>
        </w:rPr>
        <w:t xml:space="preserve">najnižom cijenom. </w:t>
      </w:r>
    </w:p>
    <w:p w14:paraId="4A2A5FD8">
      <w:pPr>
        <w:rPr>
          <w:rFonts w:cs="Times New Roman"/>
          <w:lang w:val="hr-HR" w:eastAsia="hr-HR" w:bidi="ar-SA"/>
        </w:rPr>
      </w:pPr>
      <w:r>
        <w:rPr>
          <w:rFonts w:cs="Times New Roman"/>
          <w:lang w:val="hr-HR" w:eastAsia="hr-HR" w:bidi="ar-SA"/>
        </w:rPr>
        <w:t>Ugovor o nabavi zaključit će se u pisanom obliku sa gospodarskim subjektom čija će ponuda biti odabrana kao najpovoljnija u skladu s kriterijem za odabir i traženim uvjetima iz Poziva na dostavu ponude.</w:t>
      </w:r>
    </w:p>
    <w:p w14:paraId="58016816">
      <w:pPr>
        <w:suppressAutoHyphens w:val="0"/>
        <w:spacing w:after="0" w:line="240" w:lineRule="auto"/>
        <w:jc w:val="left"/>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br w:type="page"/>
      </w:r>
    </w:p>
    <w:p w14:paraId="55834563">
      <w:pPr>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3. RAZLOZI ISKLJUČENJA I DOKAZI SPOSOBNOSTI NATJECATELJA ILI PONUDITELJA</w:t>
      </w:r>
    </w:p>
    <w:p w14:paraId="2809C0E1">
      <w:pPr>
        <w:rPr>
          <w:rFonts w:cs="Times New Roman"/>
          <w:b/>
        </w:rPr>
      </w:pPr>
      <w:r>
        <w:rPr>
          <w:rFonts w:cs="Times New Roman"/>
          <w:b/>
        </w:rPr>
        <w:t xml:space="preserve">3.1. RAZLOZI ISKLJUČENJA </w:t>
      </w:r>
    </w:p>
    <w:p w14:paraId="19395062">
      <w:pPr>
        <w:rPr>
          <w:rFonts w:cs="Times New Roman"/>
          <w:b/>
        </w:rPr>
      </w:pPr>
      <w:r>
        <w:rPr>
          <w:rFonts w:cs="Times New Roman"/>
          <w:b/>
        </w:rPr>
        <w:t>3.1.1. Nekažnjavanje:</w:t>
      </w:r>
    </w:p>
    <w:p w14:paraId="46CD6E82">
      <w:pPr>
        <w:rPr>
          <w:rFonts w:cs="Times New Roman"/>
          <w:lang w:val="hr-HR" w:bidi="ar-SA"/>
        </w:rPr>
      </w:pPr>
      <w:r>
        <w:rPr>
          <w:rFonts w:cs="Times New Roman"/>
          <w:lang w:val="hr-HR" w:bidi="ar-SA"/>
        </w:rPr>
        <w:t>Naručitelj će isključiti gospodarskog subjekta ako utvrdi da:</w:t>
      </w:r>
    </w:p>
    <w:p w14:paraId="52153FD3">
      <w:pPr>
        <w:pStyle w:val="99"/>
        <w:numPr>
          <w:ilvl w:val="0"/>
          <w:numId w:val="2"/>
        </w:numPr>
        <w:rPr>
          <w:rFonts w:ascii="Times New Roman" w:hAnsi="Times New Roman"/>
          <w:b/>
          <w:bCs/>
        </w:rPr>
      </w:pPr>
      <w:r>
        <w:rPr>
          <w:rFonts w:ascii="Times New Roman" w:hAnsi="Times New Roman"/>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Pr>
          <w:rFonts w:ascii="Times New Roman" w:hAnsi="Times New Roman"/>
          <w:b/>
          <w:bCs/>
        </w:rPr>
        <w:t>:</w:t>
      </w:r>
    </w:p>
    <w:p w14:paraId="143E7040">
      <w:pPr>
        <w:pStyle w:val="99"/>
        <w:numPr>
          <w:ilvl w:val="0"/>
          <w:numId w:val="3"/>
        </w:numPr>
        <w:rPr>
          <w:rFonts w:ascii="Times New Roman" w:hAnsi="Times New Roman"/>
        </w:rPr>
      </w:pPr>
      <w:r>
        <w:rPr>
          <w:rFonts w:ascii="Times New Roman" w:hAnsi="Times New Roman"/>
        </w:rPr>
        <w:t>sudjelovanje u zločinačkoj organizaciji, na temelju</w:t>
      </w:r>
    </w:p>
    <w:p w14:paraId="3A64FE9F">
      <w:pPr>
        <w:rPr>
          <w:rFonts w:cs="Times New Roman"/>
          <w:lang w:val="hr-HR" w:bidi="ar-SA"/>
        </w:rPr>
      </w:pPr>
      <w:r>
        <w:rPr>
          <w:rFonts w:cs="Times New Roman"/>
          <w:lang w:val="hr-HR" w:bidi="ar-SA"/>
        </w:rPr>
        <w:t>- članka 328. (zločinačko udruženje) i članka 329. (počinjenje kaznenog djela u sastavu zločinačkog udruženja) Kaznenog zakona</w:t>
      </w:r>
    </w:p>
    <w:p w14:paraId="4F88FC84">
      <w:pPr>
        <w:rPr>
          <w:rFonts w:cs="Times New Roman"/>
          <w:lang w:val="hr-HR" w:bidi="ar-SA"/>
        </w:rPr>
      </w:pPr>
      <w:r>
        <w:rPr>
          <w:rFonts w:cs="Times New Roman"/>
          <w:b/>
          <w:bCs/>
          <w:lang w:val="hr-HR"/>
        </w:rPr>
        <w:t xml:space="preserve">- </w:t>
      </w:r>
      <w:r>
        <w:rPr>
          <w:rFonts w:cs="Times New Roman"/>
          <w:lang w:val="hr-HR" w:bidi="ar-SA"/>
        </w:rPr>
        <w:t>članka 333. (udruživanje za počinjenje kaznenih djela), iz Kaznenog zakona („Narodne novine“, br. 110/97., 27/98., 50/00., 129/00., 51/01., 111/03., 190/03., 105/04., 84/05., 71/06., 110/07., 152/08., 57/11., 77/11. i 143/12.)</w:t>
      </w:r>
    </w:p>
    <w:p w14:paraId="554C3D3A">
      <w:pPr>
        <w:pStyle w:val="99"/>
        <w:numPr>
          <w:ilvl w:val="0"/>
          <w:numId w:val="3"/>
        </w:numPr>
        <w:rPr>
          <w:rFonts w:ascii="Times New Roman" w:hAnsi="Times New Roman"/>
        </w:rPr>
      </w:pPr>
      <w:r>
        <w:rPr>
          <w:rFonts w:ascii="Times New Roman" w:hAnsi="Times New Roman"/>
        </w:rPr>
        <w:t>korupciju, na temelju</w:t>
      </w:r>
    </w:p>
    <w:p w14:paraId="68D5BBC6">
      <w:pPr>
        <w:rPr>
          <w:rFonts w:cs="Times New Roman"/>
          <w:lang w:val="hr-HR" w:bidi="ar-SA"/>
        </w:rPr>
      </w:pPr>
      <w:r>
        <w:rPr>
          <w:rFonts w:cs="Times New Roman"/>
          <w:lang w:val="hr-HR" w:bidi="ar-SA"/>
        </w:rPr>
        <w:t>- članka 252.</w:t>
      </w:r>
      <w:r>
        <w:rPr>
          <w:rFonts w:cs="Times New Roman"/>
          <w:b/>
          <w:bCs/>
          <w:lang w:val="hr-HR"/>
        </w:rPr>
        <w:t xml:space="preserve"> </w:t>
      </w:r>
      <w:r>
        <w:rPr>
          <w:rFonts w:cs="Times New Roman"/>
          <w:lang w:val="hr-HR" w:bidi="ar-SA"/>
        </w:rPr>
        <w:t>(primanje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A9195BC">
      <w:pPr>
        <w:rPr>
          <w:rFonts w:cs="Times New Roman"/>
          <w:lang w:val="hr-HR" w:bidi="ar-SA"/>
        </w:rPr>
      </w:pPr>
      <w:r>
        <w:rPr>
          <w:rFonts w:cs="Times New Roman"/>
          <w:lang w:val="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E2A4255">
      <w:pPr>
        <w:pStyle w:val="99"/>
        <w:numPr>
          <w:ilvl w:val="0"/>
          <w:numId w:val="3"/>
        </w:numPr>
        <w:rPr>
          <w:rFonts w:ascii="Times New Roman" w:hAnsi="Times New Roman"/>
        </w:rPr>
      </w:pPr>
      <w:r>
        <w:rPr>
          <w:rFonts w:ascii="Times New Roman" w:hAnsi="Times New Roman"/>
        </w:rPr>
        <w:t>prijevaru, na temelju</w:t>
      </w:r>
    </w:p>
    <w:p w14:paraId="663FAC70">
      <w:pPr>
        <w:rPr>
          <w:rFonts w:cs="Times New Roman"/>
          <w:lang w:val="hr-HR" w:bidi="ar-SA"/>
        </w:rPr>
      </w:pPr>
      <w:r>
        <w:rPr>
          <w:rFonts w:cs="Times New Roman"/>
          <w:b/>
          <w:bCs/>
          <w:lang w:val="hr-HR"/>
        </w:rPr>
        <w:t xml:space="preserve">- </w:t>
      </w:r>
      <w:r>
        <w:rPr>
          <w:rFonts w:cs="Times New Roman"/>
          <w:lang w:val="hr-HR" w:bidi="ar-SA"/>
        </w:rPr>
        <w:t>članka 236. (prijevara), članka 247. (prijevara u gospodarskom poslovanju), članka 256. (utaja poreza</w:t>
      </w:r>
      <w:r>
        <w:rPr>
          <w:rFonts w:cs="Times New Roman"/>
          <w:b/>
          <w:bCs/>
          <w:lang w:val="hr-HR"/>
        </w:rPr>
        <w:t xml:space="preserve"> </w:t>
      </w:r>
      <w:r>
        <w:rPr>
          <w:rFonts w:cs="Times New Roman"/>
          <w:lang w:val="hr-HR" w:bidi="ar-SA"/>
        </w:rPr>
        <w:t>ili carine) i članka 258. (subvencijska prijevara) Kaznenog zakona</w:t>
      </w:r>
    </w:p>
    <w:p w14:paraId="33C744BE">
      <w:pPr>
        <w:rPr>
          <w:rFonts w:cs="Times New Roman"/>
          <w:lang w:val="hr-HR" w:bidi="ar-SA"/>
        </w:rPr>
      </w:pPr>
      <w:r>
        <w:rPr>
          <w:rFonts w:cs="Times New Roman"/>
          <w:lang w:val="hr-HR" w:bidi="ar-SA"/>
        </w:rPr>
        <w:t>- članka 224. (prijevara), članka 293. (prijevara u gospodarskom poslovanju) i članka 286. (utaja poreza i drugih davanja) iz Kaznenog zakona („Narodne novine“, br. 110/97., 27/98., 50/00., 129/00., 51/01., 111/03., 190/03., 105/04., 84/05., 71/06., 110/07., 152/08., 57/11., 77/11. i 143/12.)</w:t>
      </w:r>
    </w:p>
    <w:p w14:paraId="18B5241C">
      <w:pPr>
        <w:pStyle w:val="99"/>
        <w:numPr>
          <w:ilvl w:val="0"/>
          <w:numId w:val="3"/>
        </w:numPr>
        <w:rPr>
          <w:rFonts w:ascii="Times New Roman" w:hAnsi="Times New Roman"/>
        </w:rPr>
      </w:pPr>
      <w:r>
        <w:rPr>
          <w:rFonts w:ascii="Times New Roman" w:hAnsi="Times New Roman"/>
        </w:rPr>
        <w:t>terorizam ili kaznena djela povezana s terorističkim aktivnostima, na temelju</w:t>
      </w:r>
    </w:p>
    <w:p w14:paraId="783713B8">
      <w:pPr>
        <w:rPr>
          <w:rFonts w:cs="Times New Roman"/>
          <w:lang w:val="hr-HR" w:bidi="ar-SA"/>
        </w:rPr>
      </w:pPr>
      <w:r>
        <w:rPr>
          <w:rFonts w:cs="Times New Roman"/>
          <w:b/>
          <w:bCs/>
          <w:lang w:val="hr-HR"/>
        </w:rPr>
        <w:t xml:space="preserve">- </w:t>
      </w:r>
      <w:r>
        <w:rPr>
          <w:rFonts w:cs="Times New Roman"/>
          <w:lang w:val="hr-HR" w:bidi="ar-SA"/>
        </w:rPr>
        <w:t>članka 97. (terorizam) članka 99. (javno poticanje na terorizam), članka 100. (novačenje za terorizam), članka 101. (obuka za terorizam) i članka 102. (terorističko udruženje) Kaznenog zakona</w:t>
      </w:r>
    </w:p>
    <w:p w14:paraId="73FC79F8">
      <w:pPr>
        <w:rPr>
          <w:rFonts w:cs="Times New Roman"/>
          <w:lang w:val="hr-HR" w:bidi="ar-SA"/>
        </w:rPr>
      </w:pPr>
      <w:r>
        <w:rPr>
          <w:rFonts w:cs="Times New Roman"/>
          <w:b/>
          <w:bCs/>
          <w:lang w:val="hr-HR"/>
        </w:rPr>
        <w:t xml:space="preserve">- </w:t>
      </w:r>
      <w:r>
        <w:rPr>
          <w:rFonts w:cs="Times New Roman"/>
          <w:lang w:val="hr-HR" w:bidi="ar-SA"/>
        </w:rPr>
        <w:t>članka 169. (terorizam), članka 169.a (javno poticanje na terorizam) i članka 169.b (novačenje i obuka za terorizam) iz Kaznenog zakona („Narodne novine“, br. 110/97., 27/98., 50/00., 129/00., 51/01., 111/03., 190/03., 105/04., 84/05., 71/06., 110/07., 152/08., 57/11., 77/11. i 143/12.)</w:t>
      </w:r>
    </w:p>
    <w:p w14:paraId="37E01050">
      <w:pPr>
        <w:pStyle w:val="99"/>
        <w:numPr>
          <w:ilvl w:val="0"/>
          <w:numId w:val="3"/>
        </w:numPr>
        <w:rPr>
          <w:rFonts w:ascii="Times New Roman" w:hAnsi="Times New Roman"/>
        </w:rPr>
      </w:pPr>
      <w:r>
        <w:rPr>
          <w:rFonts w:ascii="Times New Roman" w:hAnsi="Times New Roman"/>
        </w:rPr>
        <w:t>pranje novca ili financiranje terorizma, na temelju</w:t>
      </w:r>
    </w:p>
    <w:p w14:paraId="29DE9239">
      <w:pPr>
        <w:rPr>
          <w:rFonts w:cs="Times New Roman"/>
          <w:b/>
          <w:bCs/>
          <w:lang w:val="hr-HR"/>
        </w:rPr>
      </w:pPr>
      <w:r>
        <w:rPr>
          <w:rFonts w:cs="Times New Roman"/>
          <w:b/>
          <w:bCs/>
          <w:lang w:val="hr-HR"/>
        </w:rPr>
        <w:t xml:space="preserve">- </w:t>
      </w:r>
      <w:r>
        <w:rPr>
          <w:rFonts w:cs="Times New Roman"/>
          <w:lang w:val="hr-HR" w:bidi="ar-SA"/>
        </w:rPr>
        <w:t>članka 98. (financiranje terorizma) i članka 265. (pranje novca) Kaznenog zakona</w:t>
      </w:r>
    </w:p>
    <w:p w14:paraId="5A9C6148">
      <w:pPr>
        <w:rPr>
          <w:rFonts w:cs="Times New Roman"/>
          <w:lang w:val="hr-HR" w:bidi="ar-SA"/>
        </w:rPr>
      </w:pPr>
      <w:r>
        <w:rPr>
          <w:rFonts w:cs="Times New Roman"/>
          <w:b/>
          <w:bCs/>
          <w:lang w:val="hr-HR"/>
        </w:rPr>
        <w:t xml:space="preserve">- </w:t>
      </w:r>
      <w:r>
        <w:rPr>
          <w:rFonts w:cs="Times New Roman"/>
          <w:lang w:val="hr-HR" w:bidi="ar-SA"/>
        </w:rPr>
        <w:t>članka 279. (pranje novca) iz Kaznenog zakona („Narodne novine“, br. 110/97., 27/98., 50/00., 129/00., 51/01., 111/03., 190/03., 105/04., 84/05., 71/06., 110/07., 152/08., 57/11., 77/11. i 143/12.)</w:t>
      </w:r>
    </w:p>
    <w:p w14:paraId="3C4CF96C">
      <w:pPr>
        <w:pStyle w:val="99"/>
        <w:numPr>
          <w:ilvl w:val="0"/>
          <w:numId w:val="3"/>
        </w:numPr>
        <w:rPr>
          <w:rFonts w:ascii="Times New Roman" w:hAnsi="Times New Roman"/>
        </w:rPr>
      </w:pPr>
      <w:r>
        <w:rPr>
          <w:rFonts w:ascii="Times New Roman" w:hAnsi="Times New Roman"/>
        </w:rPr>
        <w:t>dječji rad ili druge oblike trgovanja ljudima, na temelju</w:t>
      </w:r>
    </w:p>
    <w:p w14:paraId="70097E25">
      <w:pPr>
        <w:rPr>
          <w:rFonts w:cs="Times New Roman"/>
          <w:lang w:val="hr-HR" w:bidi="ar-SA"/>
        </w:rPr>
      </w:pPr>
      <w:r>
        <w:rPr>
          <w:rFonts w:cs="Times New Roman"/>
          <w:b/>
          <w:bCs/>
          <w:lang w:val="hr-HR"/>
        </w:rPr>
        <w:t xml:space="preserve">- </w:t>
      </w:r>
      <w:r>
        <w:rPr>
          <w:rFonts w:cs="Times New Roman"/>
          <w:lang w:val="hr-HR" w:bidi="ar-SA"/>
        </w:rPr>
        <w:t>članka 106. (trgovanje ljudima) Kaznenog zakona</w:t>
      </w:r>
    </w:p>
    <w:p w14:paraId="2CCFFAC2">
      <w:pPr>
        <w:rPr>
          <w:rFonts w:cs="Times New Roman"/>
          <w:lang w:val="hr-HR" w:bidi="ar-SA"/>
        </w:rPr>
      </w:pPr>
      <w:r>
        <w:rPr>
          <w:rFonts w:cs="Times New Roman"/>
          <w:b/>
          <w:bCs/>
          <w:lang w:val="hr-HR"/>
        </w:rPr>
        <w:t xml:space="preserve">- </w:t>
      </w:r>
      <w:r>
        <w:rPr>
          <w:rFonts w:cs="Times New Roman"/>
          <w:lang w:val="hr-HR" w:bidi="ar-SA"/>
        </w:rPr>
        <w:t>članka 175. (trgovanje ljudima i ropstvo) iz Kaznenog zakona („Narodne novine“, br. 110/97., 27/98., 50/00., 129/00., 51/01., 111/03., 190/03., 105/04., 84/05., 71/06., 110/07., 152/08., 57/11., 77/11. i 143/12.), ili</w:t>
      </w:r>
    </w:p>
    <w:p w14:paraId="72952277">
      <w:pPr>
        <w:pStyle w:val="99"/>
        <w:numPr>
          <w:ilvl w:val="0"/>
          <w:numId w:val="2"/>
        </w:numPr>
        <w:rPr>
          <w:rFonts w:ascii="Times New Roman" w:hAnsi="Times New Roman"/>
          <w:b/>
          <w:bCs/>
        </w:rPr>
      </w:pPr>
      <w:r>
        <w:rPr>
          <w:rFonts w:ascii="Times New Roman" w:hAnsi="Times New Roman"/>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44966A36">
      <w:pPr>
        <w:rPr>
          <w:rFonts w:cs="Times New Roman"/>
        </w:rPr>
      </w:pPr>
      <w:r>
        <w:rPr>
          <w:rFonts w:cs="Times New Roman"/>
        </w:rPr>
        <w:t xml:space="preserve">Za potrebe utvrđivanja okolnosti navedenih pod 3.1.1. Ponuditelj u ponudi dostavlja </w:t>
      </w:r>
      <w:r>
        <w:rPr>
          <w:rFonts w:cs="Times New Roman"/>
          <w:b/>
        </w:rPr>
        <w:t xml:space="preserve">Izjavu </w:t>
      </w:r>
      <w:r>
        <w:rPr>
          <w:rFonts w:cs="Times New Roman"/>
        </w:rPr>
        <w:t xml:space="preserve">koja je sastavni dio ovoga Poziva za dostavu ponuda (Prilog 1). </w:t>
      </w:r>
    </w:p>
    <w:p w14:paraId="78C45F9F">
      <w:pPr>
        <w:pStyle w:val="100"/>
        <w:spacing w:line="276" w:lineRule="auto"/>
        <w:jc w:val="both"/>
        <w:rPr>
          <w:bCs/>
          <w:iCs/>
        </w:rPr>
      </w:pPr>
    </w:p>
    <w:p w14:paraId="209551CC">
      <w:pPr>
        <w:pStyle w:val="100"/>
        <w:spacing w:line="276" w:lineRule="auto"/>
        <w:jc w:val="both"/>
        <w:rPr>
          <w:u w:val="single"/>
        </w:rPr>
      </w:pPr>
      <w:r>
        <w:rPr>
          <w:b/>
          <w:bCs/>
          <w:iCs/>
          <w:u w:val="single"/>
        </w:rPr>
        <w:t>3.1.2. Plaćene dospjele porezne obveze i obveze za mirovinsko i zdravstveno osiguranje:</w:t>
      </w:r>
      <w:r>
        <w:rPr>
          <w:u w:val="single"/>
        </w:rPr>
        <w:t xml:space="preserve"> </w:t>
      </w:r>
    </w:p>
    <w:p w14:paraId="1B6FBC7A">
      <w:pPr>
        <w:rPr>
          <w:rFonts w:cs="Times New Roman"/>
          <w:lang w:val="hr-HR" w:bidi="ar-SA"/>
        </w:rPr>
      </w:pPr>
    </w:p>
    <w:p w14:paraId="5F991C37">
      <w:pPr>
        <w:rPr>
          <w:rFonts w:cs="Times New Roman"/>
          <w:lang w:val="hr-HR" w:bidi="ar-SA"/>
        </w:rPr>
      </w:pPr>
      <w:r>
        <w:rPr>
          <w:rFonts w:cs="Times New Roman"/>
          <w:lang w:val="hr-HR" w:bidi="ar-SA"/>
        </w:rPr>
        <w:t>Ponuditelj mora dokazati da je ispunio obveze plaćanja dospjelih poreznih obveza i obveza za mirovinsko i zdravstveno osiguranje:</w:t>
      </w:r>
    </w:p>
    <w:p w14:paraId="0FDC434C">
      <w:pPr>
        <w:pStyle w:val="99"/>
        <w:numPr>
          <w:ilvl w:val="0"/>
          <w:numId w:val="4"/>
        </w:numPr>
        <w:rPr>
          <w:rFonts w:ascii="Times New Roman" w:hAnsi="Times New Roman"/>
        </w:rPr>
      </w:pPr>
      <w:r>
        <w:rPr>
          <w:rFonts w:ascii="Times New Roman" w:hAnsi="Times New Roman"/>
        </w:rPr>
        <w:t xml:space="preserve">u Republici Hrvatskoj, ako gospodarski subjekt ima poslovni nastan u Republici Hrvatskoj, </w:t>
      </w:r>
    </w:p>
    <w:p w14:paraId="100E81DF">
      <w:pPr>
        <w:rPr>
          <w:rFonts w:cs="Times New Roman"/>
          <w:lang w:val="hr-HR"/>
        </w:rPr>
      </w:pPr>
      <w:r>
        <w:rPr>
          <w:rFonts w:cs="Times New Roman"/>
          <w:lang w:val="hr-HR"/>
        </w:rPr>
        <w:t>ili</w:t>
      </w:r>
    </w:p>
    <w:p w14:paraId="61766D48">
      <w:pPr>
        <w:pStyle w:val="99"/>
        <w:numPr>
          <w:ilvl w:val="0"/>
          <w:numId w:val="4"/>
        </w:numPr>
        <w:rPr>
          <w:rFonts w:ascii="Times New Roman" w:hAnsi="Times New Roman"/>
        </w:rPr>
      </w:pPr>
      <w:r>
        <w:rPr>
          <w:rFonts w:ascii="Times New Roman" w:hAnsi="Times New Roman"/>
        </w:rPr>
        <w:t xml:space="preserve">u Republici hrvatskoj ili u državi poslovnog nastana gospodarskog subjekta, ako gospodarski subjekt nema poslovni nastan u Republici Hrvatskoj. </w:t>
      </w:r>
    </w:p>
    <w:p w14:paraId="174B4790">
      <w:pPr>
        <w:rPr>
          <w:rFonts w:cs="Times New Roman"/>
          <w:lang w:val="hr-HR"/>
        </w:rPr>
      </w:pPr>
      <w:r>
        <w:rPr>
          <w:rFonts w:cs="Times New Roman"/>
          <w:lang w:val="hr-HR"/>
        </w:rPr>
        <w:t>Naručitelj neće isključiti gospodarskog subjekta iz postupka nabave ako mu sukladno posebnom propisu plaćanje obveza nije dopušteno ili mu je odobrena odgoda plaćanja.</w:t>
      </w:r>
    </w:p>
    <w:p w14:paraId="65F906AC">
      <w:pPr>
        <w:rPr>
          <w:rFonts w:cs="Times New Roman"/>
          <w:lang w:val="hr-HR"/>
        </w:rPr>
      </w:pPr>
      <w:r>
        <w:rPr>
          <w:rFonts w:cs="Times New Roman"/>
          <w:lang w:val="hr-HR" w:eastAsia="zh-CN" w:bidi="ar-SA"/>
        </w:rPr>
        <w:t xml:space="preserve">Za potrebe utvrđivanja gore navedenih okolnosti gospodarski subjekt dužan je u ponudi dostaviti </w:t>
      </w:r>
      <w:r>
        <w:rPr>
          <w:rFonts w:cs="Times New Roman"/>
          <w:lang w:val="hr-HR"/>
        </w:rPr>
        <w:t>potvrdu porezne uprave ili drugog nadležnog tijela u državi poslovnog nastana gospodarskog subjekta kojom se dokazuje da ne postoje navedene osnove za isključenje</w:t>
      </w:r>
      <w:r>
        <w:rPr>
          <w:rFonts w:cs="Times New Roman"/>
          <w:lang w:val="hr-HR" w:eastAsia="zh-CN" w:bidi="ar-SA"/>
        </w:rPr>
        <w:t xml:space="preserve"> koja ne smije biti starija od 30 dana računajući od dana početka postupka nabave ili</w:t>
      </w:r>
    </w:p>
    <w:p w14:paraId="1D81D12C">
      <w:pPr>
        <w:rPr>
          <w:rFonts w:cs="Times New Roman"/>
          <w:lang w:val="hr-HR"/>
        </w:rPr>
      </w:pPr>
      <w:r>
        <w:rPr>
          <w:rFonts w:cs="Times New Roman"/>
          <w:lang w:val="hr-HR"/>
        </w:rPr>
        <w:t xml:space="preserve">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a koje </w:t>
      </w:r>
      <w:r>
        <w:rPr>
          <w:rFonts w:cs="Times New Roman"/>
          <w:bCs/>
          <w:lang w:val="hr-HR" w:eastAsia="zh-CN" w:bidi="ar-SA"/>
        </w:rPr>
        <w:t xml:space="preserve">ne smiju biti starije od </w:t>
      </w:r>
      <w:r>
        <w:rPr>
          <w:rFonts w:cs="Times New Roman"/>
          <w:b/>
          <w:bCs/>
          <w:lang w:val="hr-HR" w:eastAsia="zh-CN" w:bidi="ar-SA"/>
        </w:rPr>
        <w:t>30 dana</w:t>
      </w:r>
      <w:r>
        <w:rPr>
          <w:rFonts w:cs="Times New Roman"/>
          <w:bCs/>
          <w:lang w:val="hr-HR" w:eastAsia="zh-CN" w:bidi="ar-SA"/>
        </w:rPr>
        <w:t xml:space="preserve"> računajući od dana početka postupka nabave.</w:t>
      </w:r>
    </w:p>
    <w:p w14:paraId="184252EA">
      <w:pPr>
        <w:rPr>
          <w:rFonts w:cs="Times New Roman"/>
          <w:lang w:val="hr-HR"/>
        </w:rPr>
      </w:pPr>
    </w:p>
    <w:p w14:paraId="29111D7C">
      <w:pPr>
        <w:rPr>
          <w:rFonts w:cs="Times New Roman"/>
          <w:lang w:val="hr-HR"/>
        </w:rPr>
      </w:pPr>
      <w:r>
        <w:rPr>
          <w:rFonts w:cs="Times New Roman"/>
          <w:b/>
        </w:rPr>
        <w:t>3.2. DOKAZI SPOSOBNOSTI</w:t>
      </w:r>
    </w:p>
    <w:p w14:paraId="1F572439">
      <w:pPr>
        <w:pStyle w:val="2"/>
        <w:bidi w:val="0"/>
        <w:rPr>
          <w:lang w:val="hr-HR" w:eastAsia="hr-HR"/>
        </w:rPr>
      </w:pPr>
      <w:r>
        <w:rPr>
          <w:rFonts w:hint="default"/>
          <w:lang w:val="en-US" w:eastAsia="hr-HR"/>
        </w:rPr>
        <w:t xml:space="preserve">3.2.1. </w:t>
      </w:r>
      <w:r>
        <w:rPr>
          <w:lang w:val="hr-HR" w:eastAsia="hr-HR"/>
        </w:rPr>
        <w:t>Dokaz o upisu gospodarskog subjekta u sudski, obrtni, strukovni ili drugi odgovarajući registar u državi njegova poslovnog nastana.</w:t>
      </w:r>
    </w:p>
    <w:p w14:paraId="6D15624A">
      <w:pPr>
        <w:rPr>
          <w:rFonts w:cs="Times New Roman"/>
          <w:lang w:val="hr-HR" w:eastAsia="hr-HR" w:bidi="ar-SA"/>
        </w:rPr>
      </w:pPr>
      <w:r>
        <w:rPr>
          <w:rFonts w:cs="Times New Roman"/>
          <w:lang w:val="hr-HR" w:eastAsia="hr-HR" w:bidi="ar-SA"/>
        </w:rPr>
        <w:t xml:space="preserve">Za potrebe utvrđivanja okolnosti iz ove točke gospodarski subjekt u ponudi dostavlja: </w:t>
      </w:r>
    </w:p>
    <w:p w14:paraId="6868AAF0">
      <w:pPr>
        <w:pStyle w:val="99"/>
        <w:numPr>
          <w:ilvl w:val="0"/>
          <w:numId w:val="5"/>
        </w:numPr>
        <w:rPr>
          <w:rFonts w:ascii="Times New Roman" w:hAnsi="Times New Roman"/>
          <w:sz w:val="30"/>
          <w:szCs w:val="30"/>
          <w:lang w:eastAsia="hr-HR"/>
        </w:rPr>
      </w:pPr>
      <w:r>
        <w:rPr>
          <w:rFonts w:ascii="Times New Roman" w:hAnsi="Times New Roman"/>
          <w:lang w:eastAsia="hr-HR"/>
        </w:rPr>
        <w:t>izvadak iz sudskog, obrtnog, strukovnog ili drugog odgovarajućeg registra koji se vodi u državi članici njegova poslovnog nastana za sve gospodarske subjekte u ponudi</w:t>
      </w:r>
      <w:r>
        <w:rPr>
          <w:rFonts w:ascii="Times New Roman" w:hAnsi="Times New Roman"/>
          <w:sz w:val="23"/>
          <w:szCs w:val="23"/>
          <w:lang w:eastAsia="hr-HR"/>
        </w:rPr>
        <w:t>.</w:t>
      </w:r>
      <w:r>
        <w:rPr>
          <w:rFonts w:ascii="Times New Roman" w:hAnsi="Times New Roman"/>
          <w:sz w:val="30"/>
          <w:szCs w:val="30"/>
          <w:lang w:eastAsia="hr-HR"/>
        </w:rPr>
        <w:t xml:space="preserve"> </w:t>
      </w:r>
    </w:p>
    <w:p w14:paraId="795D999C">
      <w:pPr>
        <w:pStyle w:val="106"/>
        <w:spacing w:before="0" w:beforeAutospacing="0" w:after="0" w:afterAutospacing="0" w:line="276" w:lineRule="auto"/>
      </w:pPr>
    </w:p>
    <w:p w14:paraId="7282CD8D">
      <w:pPr>
        <w:suppressAutoHyphens w:val="0"/>
        <w:spacing w:after="0"/>
        <w:rPr>
          <w:rFonts w:cs="Times New Roman"/>
          <w:iCs/>
          <w:color w:val="auto"/>
          <w:szCs w:val="24"/>
          <w:lang w:val="hr-HR"/>
        </w:rPr>
      </w:pPr>
    </w:p>
    <w:p w14:paraId="7F719937">
      <w:pPr>
        <w:ind w:firstLine="708"/>
        <w:rPr>
          <w:rFonts w:cs="Times New Roman"/>
          <w:b/>
          <w:bCs/>
        </w:rPr>
      </w:pPr>
      <w:r>
        <w:rPr>
          <w:rFonts w:cs="Times New Roman"/>
          <w:b/>
          <w:bCs/>
        </w:rPr>
        <w:t>Predstavnici naručitelja:</w:t>
      </w:r>
    </w:p>
    <w:p w14:paraId="340C89AF">
      <w:pPr>
        <w:ind w:firstLine="708"/>
        <w:rPr>
          <w:rFonts w:hint="default" w:cs="Times New Roman"/>
          <w:lang w:val="hr-HR"/>
        </w:rPr>
      </w:pPr>
      <w:r>
        <w:rPr>
          <w:rFonts w:hint="default" w:cs="Times New Roman"/>
          <w:lang w:val="hr-HR"/>
        </w:rPr>
        <w:t>Joso Ćaćić, eoc.</w:t>
      </w:r>
    </w:p>
    <w:p w14:paraId="2AD869D8">
      <w:pPr>
        <w:ind w:firstLine="708"/>
        <w:rPr>
          <w:rFonts w:hint="default" w:cs="Times New Roman"/>
          <w:lang w:val="hr-HR"/>
        </w:rPr>
      </w:pPr>
      <w:r>
        <w:rPr>
          <w:rFonts w:hint="default" w:cs="Times New Roman"/>
          <w:lang w:val="hr-HR"/>
        </w:rPr>
        <w:t>Ivana Zelić, mag oec.</w:t>
      </w:r>
    </w:p>
    <w:p w14:paraId="4B6153CB">
      <w:pPr>
        <w:ind w:firstLine="708"/>
        <w:rPr>
          <w:rFonts w:hint="default" w:cs="Times New Roman"/>
          <w:lang w:val="hr-HR"/>
        </w:rPr>
      </w:pPr>
      <w:r>
        <w:rPr>
          <w:rFonts w:hint="default" w:cs="Times New Roman"/>
          <w:lang w:val="hr-HR"/>
        </w:rPr>
        <w:t>Darko Raič, dipl.iur.</w:t>
      </w:r>
    </w:p>
    <w:p w14:paraId="6FD861CB">
      <w:pPr>
        <w:jc w:val="center"/>
        <w:rPr>
          <w:rFonts w:cs="Times New Roman"/>
        </w:rPr>
      </w:pPr>
    </w:p>
    <w:p w14:paraId="5B2C9AC9">
      <w:pPr>
        <w:rPr>
          <w:rFonts w:cs="Times New Roman"/>
        </w:rPr>
      </w:pPr>
    </w:p>
    <w:p w14:paraId="593AFC8A">
      <w:pPr>
        <w:rPr>
          <w:rFonts w:cs="Times New Roman"/>
        </w:rPr>
      </w:pPr>
    </w:p>
    <w:p w14:paraId="46F72D13">
      <w:pPr>
        <w:rPr>
          <w:rFonts w:cs="Times New Roman"/>
        </w:rPr>
      </w:pPr>
    </w:p>
    <w:p w14:paraId="1388FDCF">
      <w:pPr>
        <w:rPr>
          <w:rFonts w:cs="Times New Roman"/>
        </w:rPr>
      </w:pPr>
    </w:p>
    <w:p w14:paraId="097DA1C1">
      <w:pPr>
        <w:rPr>
          <w:rFonts w:cs="Times New Roman"/>
        </w:rPr>
      </w:pPr>
    </w:p>
    <w:p w14:paraId="1A35BCC4">
      <w:pPr>
        <w:suppressAutoHyphens w:val="0"/>
        <w:spacing w:after="0" w:line="240" w:lineRule="auto"/>
        <w:jc w:val="center"/>
        <w:rPr>
          <w:rFonts w:cs="Times New Roman"/>
          <w:b/>
        </w:rPr>
      </w:pPr>
    </w:p>
    <w:p w14:paraId="75D9CCA8">
      <w:pPr>
        <w:suppressAutoHyphens w:val="0"/>
        <w:spacing w:after="0" w:line="240" w:lineRule="auto"/>
        <w:jc w:val="center"/>
        <w:rPr>
          <w:rFonts w:cs="Times New Roman"/>
          <w:b/>
        </w:rPr>
      </w:pPr>
    </w:p>
    <w:p w14:paraId="32CE7C43">
      <w:pPr>
        <w:suppressAutoHyphens w:val="0"/>
        <w:spacing w:after="0" w:line="240" w:lineRule="auto"/>
        <w:jc w:val="center"/>
        <w:rPr>
          <w:rFonts w:cs="Times New Roman"/>
          <w:b/>
        </w:rPr>
      </w:pPr>
    </w:p>
    <w:p w14:paraId="2FD09A5A">
      <w:pPr>
        <w:suppressAutoHyphens w:val="0"/>
        <w:spacing w:after="0" w:line="240" w:lineRule="auto"/>
        <w:jc w:val="center"/>
        <w:rPr>
          <w:rFonts w:cs="Times New Roman"/>
          <w:b/>
        </w:rPr>
      </w:pPr>
    </w:p>
    <w:p w14:paraId="15EADF1B">
      <w:pPr>
        <w:suppressAutoHyphens w:val="0"/>
        <w:spacing w:after="0" w:line="240" w:lineRule="auto"/>
        <w:jc w:val="center"/>
        <w:rPr>
          <w:rFonts w:cs="Times New Roman"/>
          <w:b/>
        </w:rPr>
      </w:pPr>
    </w:p>
    <w:p w14:paraId="25FBE621">
      <w:pPr>
        <w:suppressAutoHyphens w:val="0"/>
        <w:spacing w:after="0" w:line="240" w:lineRule="auto"/>
        <w:jc w:val="center"/>
        <w:rPr>
          <w:rFonts w:cs="Times New Roman"/>
          <w:b/>
        </w:rPr>
      </w:pPr>
    </w:p>
    <w:p w14:paraId="4F10E112">
      <w:pPr>
        <w:suppressAutoHyphens w:val="0"/>
        <w:spacing w:after="0" w:line="240" w:lineRule="auto"/>
        <w:jc w:val="center"/>
        <w:rPr>
          <w:rFonts w:cs="Times New Roman"/>
          <w:b/>
        </w:rPr>
      </w:pPr>
    </w:p>
    <w:p w14:paraId="56B6A2C8">
      <w:pPr>
        <w:suppressAutoHyphens w:val="0"/>
        <w:spacing w:after="0" w:line="240" w:lineRule="auto"/>
        <w:jc w:val="center"/>
        <w:rPr>
          <w:rFonts w:cs="Times New Roman"/>
          <w:b/>
        </w:rPr>
      </w:pPr>
    </w:p>
    <w:p w14:paraId="1E9F54AE">
      <w:pPr>
        <w:suppressAutoHyphens w:val="0"/>
        <w:spacing w:after="0" w:line="240" w:lineRule="auto"/>
        <w:jc w:val="center"/>
        <w:rPr>
          <w:rFonts w:cs="Times New Roman"/>
          <w:b/>
        </w:rPr>
      </w:pPr>
    </w:p>
    <w:p w14:paraId="7EA67C91">
      <w:pPr>
        <w:suppressAutoHyphens w:val="0"/>
        <w:spacing w:after="0" w:line="240" w:lineRule="auto"/>
        <w:jc w:val="center"/>
        <w:rPr>
          <w:rFonts w:cs="Times New Roman"/>
          <w:b/>
        </w:rPr>
      </w:pPr>
    </w:p>
    <w:p w14:paraId="255167C9">
      <w:pPr>
        <w:suppressAutoHyphens w:val="0"/>
        <w:spacing w:after="0" w:line="240" w:lineRule="auto"/>
        <w:jc w:val="center"/>
        <w:rPr>
          <w:rFonts w:cs="Times New Roman"/>
          <w:b/>
        </w:rPr>
      </w:pPr>
    </w:p>
    <w:p w14:paraId="58C147E9">
      <w:pPr>
        <w:suppressAutoHyphens w:val="0"/>
        <w:spacing w:after="0" w:line="240" w:lineRule="auto"/>
        <w:jc w:val="center"/>
        <w:rPr>
          <w:rFonts w:cs="Times New Roman"/>
          <w:b/>
        </w:rPr>
      </w:pPr>
    </w:p>
    <w:p w14:paraId="4C19B22D">
      <w:pPr>
        <w:suppressAutoHyphens w:val="0"/>
        <w:spacing w:after="0" w:line="240" w:lineRule="auto"/>
        <w:jc w:val="center"/>
        <w:rPr>
          <w:rFonts w:cs="Times New Roman"/>
          <w:b/>
        </w:rPr>
      </w:pPr>
    </w:p>
    <w:p w14:paraId="135621F0">
      <w:pPr>
        <w:suppressAutoHyphens w:val="0"/>
        <w:spacing w:after="0" w:line="240" w:lineRule="auto"/>
        <w:jc w:val="center"/>
        <w:rPr>
          <w:rFonts w:cs="Times New Roman"/>
          <w:b/>
        </w:rPr>
      </w:pPr>
    </w:p>
    <w:p w14:paraId="243519FF">
      <w:pPr>
        <w:suppressAutoHyphens w:val="0"/>
        <w:spacing w:after="0" w:line="240" w:lineRule="auto"/>
        <w:jc w:val="center"/>
        <w:rPr>
          <w:rFonts w:cs="Times New Roman"/>
          <w:b/>
        </w:rPr>
      </w:pPr>
    </w:p>
    <w:p w14:paraId="20730DD4">
      <w:pPr>
        <w:suppressAutoHyphens w:val="0"/>
        <w:spacing w:after="0" w:line="240" w:lineRule="auto"/>
        <w:jc w:val="center"/>
        <w:rPr>
          <w:rFonts w:cs="Times New Roman"/>
          <w:b/>
        </w:rPr>
      </w:pPr>
    </w:p>
    <w:p w14:paraId="744D47C6">
      <w:pPr>
        <w:suppressAutoHyphens w:val="0"/>
        <w:spacing w:after="0" w:line="240" w:lineRule="auto"/>
        <w:jc w:val="center"/>
        <w:rPr>
          <w:rFonts w:cs="Times New Roman"/>
          <w:b/>
        </w:rPr>
      </w:pPr>
    </w:p>
    <w:p w14:paraId="0B7D83FD">
      <w:pPr>
        <w:suppressAutoHyphens w:val="0"/>
        <w:spacing w:after="0" w:line="240" w:lineRule="auto"/>
        <w:jc w:val="center"/>
        <w:rPr>
          <w:rFonts w:cs="Times New Roman"/>
          <w:b/>
        </w:rPr>
      </w:pPr>
    </w:p>
    <w:p w14:paraId="4FCC1174">
      <w:pPr>
        <w:suppressAutoHyphens w:val="0"/>
        <w:spacing w:after="0" w:line="240" w:lineRule="auto"/>
        <w:jc w:val="center"/>
        <w:rPr>
          <w:rFonts w:cs="Times New Roman"/>
          <w:b/>
        </w:rPr>
      </w:pPr>
      <w:r>
        <w:rPr>
          <w:rFonts w:cs="Times New Roman"/>
          <w:b/>
        </w:rPr>
        <w:t>4. PRILOZI ZA IZRADU PONUDE</w:t>
      </w:r>
    </w:p>
    <w:p w14:paraId="62C67EC8">
      <w:pPr>
        <w:rPr>
          <w:rFonts w:cs="Times New Roman"/>
        </w:rPr>
      </w:pPr>
    </w:p>
    <w:p w14:paraId="73FAB138">
      <w:pPr>
        <w:rPr>
          <w:rFonts w:cs="Times New Roman"/>
        </w:rPr>
      </w:pPr>
    </w:p>
    <w:p w14:paraId="736DA721">
      <w:pPr>
        <w:rPr>
          <w:rFonts w:cs="Times New Roman"/>
        </w:rPr>
      </w:pPr>
    </w:p>
    <w:p w14:paraId="50B18B82">
      <w:pPr>
        <w:rPr>
          <w:rFonts w:cs="Times New Roman"/>
        </w:rPr>
      </w:pPr>
    </w:p>
    <w:p w14:paraId="4DA9B2E4">
      <w:pPr>
        <w:rPr>
          <w:rFonts w:cs="Times New Roman"/>
        </w:rPr>
      </w:pPr>
    </w:p>
    <w:p w14:paraId="09AFC2CF">
      <w:pPr>
        <w:rPr>
          <w:rFonts w:cs="Times New Roman"/>
        </w:rPr>
      </w:pPr>
    </w:p>
    <w:p w14:paraId="29A317CD">
      <w:pPr>
        <w:rPr>
          <w:rFonts w:cs="Times New Roman"/>
        </w:rPr>
      </w:pPr>
    </w:p>
    <w:p w14:paraId="6D45EAF7">
      <w:pPr>
        <w:rPr>
          <w:rFonts w:cs="Times New Roman"/>
        </w:rPr>
      </w:pPr>
    </w:p>
    <w:p w14:paraId="0511A9DA">
      <w:pPr>
        <w:rPr>
          <w:rFonts w:cs="Times New Roman"/>
        </w:rPr>
      </w:pPr>
    </w:p>
    <w:p w14:paraId="593031F6">
      <w:pPr>
        <w:rPr>
          <w:rFonts w:cs="Times New Roman"/>
        </w:rPr>
      </w:pPr>
    </w:p>
    <w:p w14:paraId="5EFAB19B">
      <w:pPr>
        <w:rPr>
          <w:rFonts w:cs="Times New Roman"/>
        </w:rPr>
      </w:pPr>
    </w:p>
    <w:p w14:paraId="5DF69A18">
      <w:pPr>
        <w:rPr>
          <w:rFonts w:cs="Times New Roman"/>
        </w:rPr>
      </w:pPr>
    </w:p>
    <w:p w14:paraId="6173C719">
      <w:pPr>
        <w:rPr>
          <w:rFonts w:cs="Times New Roman"/>
        </w:rPr>
      </w:pPr>
    </w:p>
    <w:p w14:paraId="16E71E22">
      <w:pPr>
        <w:rPr>
          <w:rFonts w:cs="Times New Roman"/>
        </w:rPr>
      </w:pPr>
    </w:p>
    <w:p w14:paraId="685A5E48">
      <w:pPr>
        <w:rPr>
          <w:rFonts w:cs="Times New Roman"/>
        </w:rPr>
      </w:pPr>
    </w:p>
    <w:p w14:paraId="33FA03BA">
      <w:pPr>
        <w:rPr>
          <w:rFonts w:cs="Times New Roman"/>
        </w:rPr>
      </w:pPr>
    </w:p>
    <w:p w14:paraId="22ECF452">
      <w:pPr>
        <w:rPr>
          <w:rFonts w:cs="Times New Roman"/>
        </w:rPr>
      </w:pPr>
    </w:p>
    <w:p w14:paraId="14D0D25F">
      <w:pPr>
        <w:rPr>
          <w:rFonts w:cs="Times New Roman"/>
        </w:rPr>
      </w:pPr>
    </w:p>
    <w:p w14:paraId="27F5483C">
      <w:pPr>
        <w:rPr>
          <w:rFonts w:cs="Times New Roman"/>
        </w:rPr>
      </w:pP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353A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7D720C14">
            <w:pPr>
              <w:suppressAutoHyphens w:val="0"/>
              <w:spacing w:after="0" w:line="240" w:lineRule="auto"/>
              <w:jc w:val="left"/>
              <w:rPr>
                <w:rFonts w:cs="Times New Roman"/>
                <w:b/>
              </w:rPr>
            </w:pPr>
          </w:p>
          <w:p w14:paraId="6BC30F98">
            <w:pPr>
              <w:suppressAutoHyphens w:val="0"/>
              <w:spacing w:after="0" w:line="240" w:lineRule="auto"/>
              <w:jc w:val="left"/>
              <w:rPr>
                <w:rFonts w:cs="Times New Roman"/>
                <w:b/>
              </w:rPr>
            </w:pPr>
            <w:r>
              <w:rPr>
                <w:rFonts w:cs="Times New Roman"/>
                <w:b/>
              </w:rPr>
              <w:t>PRILOG 1</w:t>
            </w:r>
            <w:r>
              <w:rPr>
                <w:rFonts w:hint="default" w:cs="Times New Roman"/>
                <w:b/>
                <w:lang w:val="hr-HR"/>
              </w:rPr>
              <w:t xml:space="preserve">                                    </w:t>
            </w:r>
            <w:r>
              <w:rPr>
                <w:rFonts w:cs="Times New Roman"/>
                <w:b/>
              </w:rPr>
              <w:t>PONUDBENI  LIST</w:t>
            </w:r>
          </w:p>
        </w:tc>
      </w:tr>
    </w:tbl>
    <w:p w14:paraId="11E3A0D2">
      <w:pPr>
        <w:rPr>
          <w:rFonts w:cs="Times New Roman"/>
        </w:rPr>
      </w:pPr>
    </w:p>
    <w:p w14:paraId="649D507C">
      <w:pPr>
        <w:jc w:val="left"/>
        <w:rPr>
          <w:rFonts w:cs="Times New Roman"/>
          <w:sz w:val="16"/>
          <w:szCs w:val="16"/>
        </w:rPr>
      </w:pPr>
      <w:r>
        <w:rPr>
          <w:rFonts w:cs="Times New Roman"/>
        </w:rPr>
        <w:t>NARUČITELJ:  KOMUNALNO PODUZEĆE d.o.o., Trg Oluje k.br. 9,  22300 Knin, OIB: 33813961569</w:t>
      </w:r>
    </w:p>
    <w:p w14:paraId="022587BB">
      <w:pPr>
        <w:jc w:val="left"/>
        <w:rPr>
          <w:rFonts w:cs="Times New Roman"/>
        </w:rPr>
      </w:pPr>
      <w:r>
        <w:rPr>
          <w:rFonts w:cs="Times New Roman"/>
        </w:rPr>
        <w:t xml:space="preserve">NAZIV PONUDITELJA:  </w:t>
      </w:r>
      <w:r>
        <w:rPr>
          <w:rFonts w:cs="Times New Roman"/>
        </w:rPr>
        <w:br w:type="textWrapping"/>
      </w:r>
      <w:r>
        <w:rPr>
          <w:rFonts w:cs="Times New Roman"/>
        </w:rPr>
        <w:br w:type="textWrapping"/>
      </w:r>
      <w:r>
        <w:rPr>
          <w:rFonts w:cs="Times New Roman"/>
        </w:rPr>
        <w:t>_____________________________________________________________________________</w:t>
      </w:r>
    </w:p>
    <w:p w14:paraId="74D4CCE0">
      <w:pPr>
        <w:jc w:val="left"/>
        <w:rPr>
          <w:rFonts w:cs="Times New Roman"/>
        </w:rPr>
      </w:pPr>
      <w:r>
        <w:rPr>
          <w:rFonts w:cs="Times New Roman"/>
        </w:rPr>
        <w:t xml:space="preserve">Sjedište, adresa, OIB: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22C49335">
      <w:pPr>
        <w:jc w:val="left"/>
        <w:rPr>
          <w:rFonts w:cs="Times New Roman"/>
        </w:rPr>
      </w:pPr>
      <w:r>
        <w:rPr>
          <w:rFonts w:cs="Times New Roman"/>
        </w:rPr>
        <w:t>Broj računa:___________________________________________________________________</w:t>
      </w:r>
    </w:p>
    <w:p w14:paraId="6A501CF6">
      <w:pPr>
        <w:jc w:val="left"/>
        <w:rPr>
          <w:rFonts w:cs="Times New Roman"/>
        </w:rPr>
      </w:pPr>
    </w:p>
    <w:p w14:paraId="1E73F8DD">
      <w:pPr>
        <w:jc w:val="left"/>
        <w:rPr>
          <w:rFonts w:cs="Times New Roman"/>
        </w:rPr>
      </w:pPr>
      <w:r>
        <w:rPr>
          <w:rFonts w:cs="Times New Roman"/>
        </w:rPr>
        <w:t xml:space="preserve">Ponuditelj je u sustavu PDV-a:        </w:t>
      </w:r>
      <w:r>
        <w:rPr>
          <w:rFonts w:cs="Times New Roman"/>
        </w:rPr>
        <w:tab/>
      </w:r>
      <w:r>
        <w:rPr>
          <w:rFonts w:cs="Times New Roman"/>
        </w:rPr>
        <w:tab/>
      </w:r>
      <w:r>
        <w:rPr>
          <w:rFonts w:cs="Times New Roman"/>
        </w:rPr>
        <w:t xml:space="preserve">DA   </w:t>
      </w:r>
      <w:r>
        <w:rPr>
          <w:rFonts w:cs="Times New Roman"/>
        </w:rPr>
        <w:tab/>
      </w:r>
      <w:r>
        <w:rPr>
          <w:rFonts w:cs="Times New Roman"/>
        </w:rPr>
        <w:tab/>
      </w:r>
      <w:r>
        <w:rPr>
          <w:rFonts w:cs="Times New Roman"/>
        </w:rPr>
        <w:t xml:space="preserve">NE   </w:t>
      </w:r>
      <w:r>
        <w:rPr>
          <w:rFonts w:cs="Times New Roman"/>
        </w:rPr>
        <w:tab/>
      </w:r>
      <w:r>
        <w:rPr>
          <w:rFonts w:cs="Times New Roman"/>
        </w:rPr>
        <w:tab/>
      </w:r>
      <w:r>
        <w:rPr>
          <w:rFonts w:cs="Times New Roman"/>
        </w:rPr>
        <w:t>(zaokružiti)</w:t>
      </w:r>
    </w:p>
    <w:p w14:paraId="621EF48C">
      <w:pPr>
        <w:jc w:val="left"/>
        <w:rPr>
          <w:rFonts w:cs="Times New Roman"/>
        </w:rPr>
      </w:pPr>
    </w:p>
    <w:p w14:paraId="58989CE3">
      <w:pPr>
        <w:jc w:val="left"/>
        <w:rPr>
          <w:rFonts w:cs="Times New Roman"/>
        </w:rPr>
      </w:pPr>
      <w:r>
        <w:rPr>
          <w:rFonts w:cs="Times New Roman"/>
        </w:rPr>
        <w:t xml:space="preserve">Adresa za dostavu pošte: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71C79E3B">
      <w:pPr>
        <w:jc w:val="left"/>
        <w:rPr>
          <w:rFonts w:cs="Times New Roman"/>
        </w:rPr>
      </w:pPr>
      <w:r>
        <w:rPr>
          <w:rFonts w:cs="Times New Roman"/>
        </w:rPr>
        <w:t>Adresa e-pošte:________________________________________________________________</w:t>
      </w:r>
      <w:r>
        <w:rPr>
          <w:rFonts w:cs="Times New Roman"/>
        </w:rPr>
        <w:br w:type="textWrapping"/>
      </w:r>
    </w:p>
    <w:p w14:paraId="120E419C">
      <w:pPr>
        <w:jc w:val="left"/>
        <w:rPr>
          <w:rFonts w:cs="Times New Roman"/>
        </w:rPr>
      </w:pPr>
      <w:r>
        <w:rPr>
          <w:rFonts w:cs="Times New Roman"/>
        </w:rPr>
        <w:t xml:space="preserve">Kontakt osoba ponuditelja: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47F7C108">
      <w:pPr>
        <w:jc w:val="left"/>
        <w:rPr>
          <w:rFonts w:cs="Times New Roman"/>
        </w:rPr>
      </w:pPr>
      <w:r>
        <w:rPr>
          <w:rFonts w:cs="Times New Roman"/>
        </w:rPr>
        <w:t>Broj telefona: ______________________________Broj faksa:___________________________</w:t>
      </w:r>
      <w:r>
        <w:rPr>
          <w:rFonts w:cs="Times New Roman"/>
        </w:rPr>
        <w:br w:type="textWrapping"/>
      </w:r>
    </w:p>
    <w:p w14:paraId="780D4E70">
      <w:pPr>
        <w:jc w:val="left"/>
        <w:rPr>
          <w:rFonts w:cs="Times New Roman"/>
        </w:rPr>
      </w:pPr>
    </w:p>
    <w:p w14:paraId="1A291F1A">
      <w:pPr>
        <w:jc w:val="left"/>
        <w:rPr>
          <w:rFonts w:cs="Times New Roman"/>
        </w:rPr>
      </w:pPr>
    </w:p>
    <w:p w14:paraId="10F67988">
      <w:pPr>
        <w:jc w:val="left"/>
        <w:rPr>
          <w:rFonts w:cs="Times New Roman"/>
        </w:rPr>
      </w:pPr>
    </w:p>
    <w:p w14:paraId="54ED2C10">
      <w:pPr>
        <w:jc w:val="left"/>
        <w:rPr>
          <w:rFonts w:cs="Times New Roman"/>
        </w:rPr>
      </w:pPr>
    </w:p>
    <w:p w14:paraId="19558906">
      <w:pPr>
        <w:jc w:val="left"/>
        <w:rPr>
          <w:rFonts w:cs="Times New Roman"/>
        </w:rPr>
      </w:pPr>
    </w:p>
    <w:p w14:paraId="5DF14DB7">
      <w:pPr>
        <w:jc w:val="left"/>
        <w:rPr>
          <w:rFonts w:cs="Times New Roman"/>
        </w:rPr>
      </w:pPr>
    </w:p>
    <w:p w14:paraId="35C54E49">
      <w:pPr>
        <w:jc w:val="center"/>
        <w:rPr>
          <w:rFonts w:hint="default" w:cs="Times New Roman"/>
          <w:b/>
          <w:bCs/>
          <w:lang w:val="hr-HR"/>
        </w:rPr>
      </w:pPr>
      <w:r>
        <w:rPr>
          <w:rFonts w:ascii="Times New Roman" w:hAnsi="Times New Roman" w:cs="Times New Roman"/>
          <w:b/>
          <w:bCs/>
        </w:rPr>
        <w:t xml:space="preserve">PONUDA ZA </w:t>
      </w:r>
      <w:r>
        <w:rPr>
          <w:rFonts w:hint="default" w:cs="Times New Roman"/>
          <w:b/>
          <w:bCs/>
          <w:lang w:val="hr-HR"/>
        </w:rPr>
        <w:t>POŠTANSKE USLUGE</w:t>
      </w:r>
    </w:p>
    <w:p w14:paraId="06B53510">
      <w:pPr>
        <w:jc w:val="left"/>
        <w:rPr>
          <w:rFonts w:cs="Times New Roman"/>
        </w:rPr>
      </w:pPr>
      <w:r>
        <w:rPr>
          <w:rFonts w:cs="Times New Roman"/>
        </w:rPr>
        <w:br w:type="textWrapping"/>
      </w:r>
      <w:r>
        <w:rPr>
          <w:rFonts w:cs="Times New Roman"/>
        </w:rPr>
        <w:t>Ponuda broj:</w:t>
      </w:r>
      <w:r>
        <w:rPr>
          <w:rFonts w:cs="Times New Roman"/>
          <w:sz w:val="32"/>
          <w:szCs w:val="32"/>
        </w:rPr>
        <w:t xml:space="preserve"> __________</w:t>
      </w:r>
    </w:p>
    <w:p w14:paraId="70C16287">
      <w:pPr>
        <w:rPr>
          <w:rFonts w:cs="Times New Roman"/>
        </w:rPr>
      </w:pPr>
    </w:p>
    <w:p w14:paraId="66464559">
      <w:pPr>
        <w:rPr>
          <w:rFonts w:cs="Times New Roman"/>
        </w:rPr>
      </w:pPr>
      <w:r>
        <w:rPr>
          <w:rFonts w:cs="Times New Roman"/>
        </w:rPr>
        <w:t>Sveukupna cijena u eurima:</w:t>
      </w:r>
    </w:p>
    <w:p w14:paraId="30DF55B4">
      <w:pPr>
        <w:rPr>
          <w:rFonts w:cs="Times New Roman"/>
        </w:rPr>
      </w:pPr>
      <w:r>
        <w:rPr>
          <w:rFonts w:cs="Times New Roman"/>
        </w:rPr>
        <w:t>Bez PDV-a:  ________________________________________________________</w:t>
      </w:r>
    </w:p>
    <w:p w14:paraId="02E7A33A">
      <w:pPr>
        <w:rPr>
          <w:rFonts w:cs="Times New Roman"/>
        </w:rPr>
      </w:pPr>
      <w:r>
        <w:rPr>
          <w:rFonts w:cs="Times New Roman"/>
        </w:rPr>
        <w:t>PDV:  _____________________________________________________________</w:t>
      </w:r>
    </w:p>
    <w:p w14:paraId="0B6D8A77">
      <w:pPr>
        <w:rPr>
          <w:rFonts w:cs="Times New Roman"/>
        </w:rPr>
      </w:pPr>
      <w:r>
        <w:rPr>
          <w:rFonts w:cs="Times New Roman"/>
        </w:rPr>
        <w:t>Ukupno:  ___________________________________________________________</w:t>
      </w:r>
    </w:p>
    <w:p w14:paraId="0465B906">
      <w:pPr>
        <w:rPr>
          <w:rFonts w:cs="Times New Roman"/>
        </w:rPr>
      </w:pPr>
    </w:p>
    <w:p w14:paraId="4D77D1B8">
      <w:pPr>
        <w:rPr>
          <w:rFonts w:cs="Times New Roman"/>
        </w:rPr>
      </w:pPr>
      <w:r>
        <w:rPr>
          <w:rFonts w:cs="Times New Roman"/>
        </w:rPr>
        <w:t>Rok valjanosti ponude:  60 dana</w:t>
      </w:r>
    </w:p>
    <w:p w14:paraId="08B5536C">
      <w:pPr>
        <w:rPr>
          <w:rFonts w:cs="Times New Roman"/>
        </w:rPr>
      </w:pPr>
    </w:p>
    <w:p w14:paraId="2F4DFF12">
      <w:pPr>
        <w:rPr>
          <w:rFonts w:cs="Times New Roman"/>
        </w:rPr>
      </w:pPr>
      <w:r>
        <w:rPr>
          <w:rFonts w:cs="Times New Roman"/>
        </w:rPr>
        <w:t>U __________________ 202</w:t>
      </w:r>
      <w:r>
        <w:rPr>
          <w:rFonts w:hint="default" w:cs="Times New Roman"/>
          <w:lang w:val="hr-HR"/>
        </w:rPr>
        <w:t>5</w:t>
      </w:r>
      <w:r>
        <w:rPr>
          <w:rFonts w:cs="Times New Roman"/>
        </w:rPr>
        <w:t xml:space="preserve">. god.    </w:t>
      </w:r>
    </w:p>
    <w:p w14:paraId="5E3F2F27">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_____________________</w:t>
      </w:r>
    </w:p>
    <w:p w14:paraId="3900CE4D">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(potpis ponuditelja)</w:t>
      </w:r>
    </w:p>
    <w:p w14:paraId="6EF71F5C">
      <w:pPr>
        <w:rPr>
          <w:rFonts w:cs="Times New Roman"/>
        </w:rPr>
      </w:pPr>
    </w:p>
    <w:p w14:paraId="197AFFE4">
      <w:pPr>
        <w:rPr>
          <w:rFonts w:cs="Times New Roman"/>
        </w:rPr>
      </w:pPr>
    </w:p>
    <w:p w14:paraId="1EB77DDC">
      <w:pPr>
        <w:rPr>
          <w:rFonts w:cs="Times New Roman"/>
        </w:rPr>
      </w:pPr>
    </w:p>
    <w:p w14:paraId="006424F6">
      <w:pPr>
        <w:rPr>
          <w:rFonts w:cs="Times New Roman"/>
        </w:rPr>
      </w:pPr>
    </w:p>
    <w:p w14:paraId="1CEAA226">
      <w:pPr>
        <w:rPr>
          <w:rFonts w:cs="Times New Roman"/>
        </w:rPr>
      </w:pPr>
    </w:p>
    <w:p w14:paraId="705B48CC">
      <w:pPr>
        <w:rPr>
          <w:rFonts w:cs="Times New Roman"/>
        </w:rPr>
      </w:pPr>
    </w:p>
    <w:p w14:paraId="79049CC9">
      <w:pPr>
        <w:rPr>
          <w:rFonts w:cs="Times New Roman"/>
        </w:rPr>
      </w:pPr>
    </w:p>
    <w:p w14:paraId="40FFD3C4">
      <w:pPr>
        <w:rPr>
          <w:rFonts w:cs="Times New Roman"/>
        </w:rPr>
      </w:pPr>
    </w:p>
    <w:p w14:paraId="316BCCB6">
      <w:pPr>
        <w:rPr>
          <w:rFonts w:cs="Times New Roman"/>
        </w:rPr>
      </w:pPr>
    </w:p>
    <w:p w14:paraId="0F99390A">
      <w:pPr>
        <w:rPr>
          <w:rFonts w:cs="Times New Roman"/>
        </w:rPr>
      </w:pPr>
    </w:p>
    <w:p w14:paraId="042DDCB9">
      <w:pPr>
        <w:rPr>
          <w:rFonts w:cs="Times New Roman"/>
        </w:rPr>
      </w:pPr>
    </w:p>
    <w:p w14:paraId="6E795F80">
      <w:pPr>
        <w:rPr>
          <w:rFonts w:cs="Times New Roman"/>
        </w:rPr>
      </w:pPr>
    </w:p>
    <w:p w14:paraId="4151977A">
      <w:pPr>
        <w:rPr>
          <w:rFonts w:cs="Times New Roman"/>
        </w:rPr>
      </w:pPr>
    </w:p>
    <w:p w14:paraId="722D0566">
      <w:pPr>
        <w:rPr>
          <w:rFonts w:cs="Times New Roman"/>
        </w:rPr>
      </w:pPr>
    </w:p>
    <w:p w14:paraId="2AC74DAB">
      <w:pPr>
        <w:suppressAutoHyphens w:val="0"/>
        <w:spacing w:after="0" w:line="240" w:lineRule="auto"/>
        <w:jc w:val="left"/>
        <w:rPr>
          <w:rFonts w:cs="Times New Roman"/>
        </w:rPr>
      </w:pPr>
      <w:r>
        <w:rPr>
          <w:rFonts w:cs="Times New Roman"/>
        </w:rPr>
        <w:br w:type="page"/>
      </w: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7520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31BB2FAC">
            <w:pPr>
              <w:rPr>
                <w:rFonts w:hint="default" w:cs="Times New Roman"/>
                <w:b/>
                <w:lang w:val="hr-HR"/>
              </w:rPr>
            </w:pPr>
            <w:r>
              <w:rPr>
                <w:rFonts w:cs="Times New Roman"/>
                <w:b/>
              </w:rPr>
              <w:t>PRILOG 2</w:t>
            </w:r>
            <w:bookmarkStart w:id="2" w:name="_Hlk127357520"/>
            <w:r>
              <w:rPr>
                <w:rFonts w:hint="default" w:cs="Times New Roman"/>
                <w:b/>
                <w:lang w:val="hr-HR"/>
              </w:rPr>
              <w:t xml:space="preserve">: TROŠKOVNIK </w:t>
            </w:r>
          </w:p>
        </w:tc>
      </w:tr>
      <w:bookmarkEnd w:id="2"/>
    </w:tbl>
    <w:p w14:paraId="07C6297B">
      <w:pPr>
        <w:rPr>
          <w:rFonts w:cs="Times New Roma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2865"/>
        <w:gridCol w:w="885"/>
        <w:gridCol w:w="1065"/>
        <w:gridCol w:w="2040"/>
        <w:gridCol w:w="2092"/>
      </w:tblGrid>
      <w:tr w14:paraId="65F1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6"/>
          </w:tcPr>
          <w:p w14:paraId="2A63ECA1">
            <w:pPr>
              <w:rPr>
                <w:rFonts w:hint="default" w:cs="Times New Roman"/>
                <w:vertAlign w:val="baseline"/>
                <w:lang w:val="hr-HR"/>
              </w:rPr>
            </w:pPr>
            <w:r>
              <w:rPr>
                <w:rFonts w:hint="default" w:cs="Times New Roman"/>
                <w:vertAlign w:val="baseline"/>
                <w:lang w:val="hr-HR"/>
              </w:rPr>
              <w:t>NARUČITELJ: KOMUNALNO PODUZEĆE d.o.o., Knin</w:t>
            </w:r>
          </w:p>
          <w:p w14:paraId="5D5CB8B2">
            <w:pPr>
              <w:rPr>
                <w:rFonts w:hint="default" w:cs="Times New Roman"/>
                <w:vertAlign w:val="baseline"/>
                <w:lang w:val="hr-HR"/>
              </w:rPr>
            </w:pPr>
            <w:r>
              <w:rPr>
                <w:rFonts w:hint="default" w:cs="Times New Roman"/>
                <w:vertAlign w:val="baseline"/>
                <w:lang w:val="hr-HR"/>
              </w:rPr>
              <w:t xml:space="preserve">PREDMET NABAVE : Poštanske usluge </w:t>
            </w:r>
          </w:p>
        </w:tc>
      </w:tr>
      <w:tr w14:paraId="7B88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2F5698D7">
            <w:pPr>
              <w:jc w:val="center"/>
              <w:rPr>
                <w:rFonts w:hint="default" w:cs="Times New Roman"/>
                <w:vertAlign w:val="baseline"/>
                <w:lang w:val="hr-HR"/>
              </w:rPr>
            </w:pPr>
            <w:r>
              <w:rPr>
                <w:rFonts w:hint="default" w:cs="Times New Roman"/>
                <w:vertAlign w:val="baseline"/>
                <w:lang w:val="hr-HR"/>
              </w:rPr>
              <w:t>Red.br.</w:t>
            </w:r>
          </w:p>
        </w:tc>
        <w:tc>
          <w:tcPr>
            <w:tcW w:w="2865" w:type="dxa"/>
          </w:tcPr>
          <w:p w14:paraId="14996A66">
            <w:pPr>
              <w:jc w:val="center"/>
              <w:rPr>
                <w:rFonts w:hint="default" w:cs="Times New Roman"/>
                <w:vertAlign w:val="baseline"/>
                <w:lang w:val="hr-HR"/>
              </w:rPr>
            </w:pPr>
            <w:r>
              <w:rPr>
                <w:rFonts w:hint="default" w:cs="Times New Roman"/>
                <w:vertAlign w:val="baseline"/>
                <w:lang w:val="hr-HR"/>
              </w:rPr>
              <w:t>Vrsta usluge</w:t>
            </w:r>
          </w:p>
        </w:tc>
        <w:tc>
          <w:tcPr>
            <w:tcW w:w="885" w:type="dxa"/>
          </w:tcPr>
          <w:p w14:paraId="6D06668D">
            <w:pPr>
              <w:jc w:val="center"/>
              <w:rPr>
                <w:rFonts w:hint="default" w:cs="Times New Roman"/>
                <w:vertAlign w:val="baseline"/>
                <w:lang w:val="hr-HR"/>
              </w:rPr>
            </w:pPr>
            <w:r>
              <w:rPr>
                <w:rFonts w:hint="default" w:cs="Times New Roman"/>
                <w:vertAlign w:val="baseline"/>
                <w:lang w:val="hr-HR"/>
              </w:rPr>
              <w:t>Jed.</w:t>
            </w:r>
          </w:p>
          <w:p w14:paraId="5062C213">
            <w:pPr>
              <w:jc w:val="center"/>
              <w:rPr>
                <w:rFonts w:hint="default" w:cs="Times New Roman"/>
                <w:vertAlign w:val="baseline"/>
                <w:lang w:val="hr-HR"/>
              </w:rPr>
            </w:pPr>
            <w:r>
              <w:rPr>
                <w:rFonts w:hint="default" w:cs="Times New Roman"/>
                <w:vertAlign w:val="baseline"/>
                <w:lang w:val="hr-HR"/>
              </w:rPr>
              <w:t>mjere</w:t>
            </w:r>
          </w:p>
        </w:tc>
        <w:tc>
          <w:tcPr>
            <w:tcW w:w="1065" w:type="dxa"/>
          </w:tcPr>
          <w:p w14:paraId="310F68F6">
            <w:pPr>
              <w:jc w:val="center"/>
              <w:rPr>
                <w:rFonts w:hint="default" w:cs="Times New Roman"/>
                <w:vertAlign w:val="baseline"/>
                <w:lang w:val="hr-HR"/>
              </w:rPr>
            </w:pPr>
            <w:r>
              <w:rPr>
                <w:rFonts w:hint="default" w:cs="Times New Roman"/>
                <w:vertAlign w:val="baseline"/>
                <w:lang w:val="hr-HR"/>
              </w:rPr>
              <w:t>Količina</w:t>
            </w:r>
          </w:p>
        </w:tc>
        <w:tc>
          <w:tcPr>
            <w:tcW w:w="2040" w:type="dxa"/>
          </w:tcPr>
          <w:p w14:paraId="407F4816">
            <w:pPr>
              <w:jc w:val="center"/>
              <w:rPr>
                <w:rFonts w:hint="default" w:cs="Times New Roman"/>
                <w:vertAlign w:val="baseline"/>
                <w:lang w:val="hr-HR"/>
              </w:rPr>
            </w:pPr>
            <w:r>
              <w:rPr>
                <w:rFonts w:hint="default" w:cs="Times New Roman"/>
                <w:vertAlign w:val="baseline"/>
                <w:lang w:val="hr-HR"/>
              </w:rPr>
              <w:t xml:space="preserve">Jedinična cijena </w:t>
            </w:r>
          </w:p>
          <w:p w14:paraId="3CECED4F">
            <w:pPr>
              <w:jc w:val="center"/>
              <w:rPr>
                <w:rFonts w:hint="default" w:cs="Times New Roman"/>
                <w:vertAlign w:val="baseline"/>
                <w:lang w:val="hr-HR"/>
              </w:rPr>
            </w:pPr>
            <w:r>
              <w:rPr>
                <w:rFonts w:hint="default" w:cs="Times New Roman"/>
                <w:vertAlign w:val="baseline"/>
                <w:lang w:val="hr-HR"/>
              </w:rPr>
              <w:t>(bez PDV-a)</w:t>
            </w:r>
          </w:p>
        </w:tc>
        <w:tc>
          <w:tcPr>
            <w:tcW w:w="2092" w:type="dxa"/>
          </w:tcPr>
          <w:p w14:paraId="7A7745A7">
            <w:pPr>
              <w:jc w:val="center"/>
              <w:rPr>
                <w:rFonts w:hint="default" w:cs="Times New Roman"/>
                <w:vertAlign w:val="baseline"/>
                <w:lang w:val="hr-HR"/>
              </w:rPr>
            </w:pPr>
            <w:r>
              <w:rPr>
                <w:rFonts w:hint="default" w:cs="Times New Roman"/>
                <w:vertAlign w:val="baseline"/>
                <w:lang w:val="hr-HR"/>
              </w:rPr>
              <w:t>Ukupna cijena bez PDV-a</w:t>
            </w:r>
          </w:p>
        </w:tc>
      </w:tr>
      <w:tr w14:paraId="64D7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0DA91615">
            <w:pPr>
              <w:jc w:val="center"/>
              <w:rPr>
                <w:rFonts w:hint="default" w:cs="Times New Roman"/>
                <w:vertAlign w:val="baseline"/>
                <w:lang w:val="hr-HR"/>
              </w:rPr>
            </w:pPr>
            <w:r>
              <w:rPr>
                <w:rFonts w:hint="default" w:cs="Times New Roman"/>
                <w:vertAlign w:val="baseline"/>
                <w:lang w:val="hr-HR"/>
              </w:rPr>
              <w:t>1</w:t>
            </w:r>
          </w:p>
        </w:tc>
        <w:tc>
          <w:tcPr>
            <w:tcW w:w="2865" w:type="dxa"/>
          </w:tcPr>
          <w:p w14:paraId="2E0441D1">
            <w:pPr>
              <w:jc w:val="center"/>
              <w:rPr>
                <w:rFonts w:hint="default" w:cs="Times New Roman"/>
                <w:vertAlign w:val="baseline"/>
                <w:lang w:val="hr-HR"/>
              </w:rPr>
            </w:pPr>
            <w:r>
              <w:rPr>
                <w:rFonts w:hint="default" w:cs="Times New Roman"/>
                <w:vertAlign w:val="baseline"/>
                <w:lang w:val="hr-HR"/>
              </w:rPr>
              <w:t>2</w:t>
            </w:r>
          </w:p>
        </w:tc>
        <w:tc>
          <w:tcPr>
            <w:tcW w:w="885" w:type="dxa"/>
          </w:tcPr>
          <w:p w14:paraId="4B6AC6B4">
            <w:pPr>
              <w:jc w:val="center"/>
              <w:rPr>
                <w:rFonts w:hint="default" w:cs="Times New Roman"/>
                <w:vertAlign w:val="baseline"/>
                <w:lang w:val="hr-HR"/>
              </w:rPr>
            </w:pPr>
            <w:r>
              <w:rPr>
                <w:rFonts w:hint="default" w:cs="Times New Roman"/>
                <w:vertAlign w:val="baseline"/>
                <w:lang w:val="hr-HR"/>
              </w:rPr>
              <w:t>3</w:t>
            </w:r>
          </w:p>
        </w:tc>
        <w:tc>
          <w:tcPr>
            <w:tcW w:w="1065" w:type="dxa"/>
          </w:tcPr>
          <w:p w14:paraId="7BDE0A7F">
            <w:pPr>
              <w:jc w:val="center"/>
              <w:rPr>
                <w:rFonts w:hint="default" w:cs="Times New Roman"/>
                <w:vertAlign w:val="baseline"/>
                <w:lang w:val="hr-HR"/>
              </w:rPr>
            </w:pPr>
            <w:r>
              <w:rPr>
                <w:rFonts w:hint="default" w:cs="Times New Roman"/>
                <w:vertAlign w:val="baseline"/>
                <w:lang w:val="hr-HR"/>
              </w:rPr>
              <w:t>4</w:t>
            </w:r>
          </w:p>
        </w:tc>
        <w:tc>
          <w:tcPr>
            <w:tcW w:w="2040" w:type="dxa"/>
          </w:tcPr>
          <w:p w14:paraId="58C0D754">
            <w:pPr>
              <w:jc w:val="center"/>
              <w:rPr>
                <w:rFonts w:hint="default" w:cs="Times New Roman"/>
                <w:vertAlign w:val="baseline"/>
                <w:lang w:val="hr-HR"/>
              </w:rPr>
            </w:pPr>
            <w:r>
              <w:rPr>
                <w:rFonts w:hint="default" w:cs="Times New Roman"/>
                <w:vertAlign w:val="baseline"/>
                <w:lang w:val="hr-HR"/>
              </w:rPr>
              <w:t>5</w:t>
            </w:r>
          </w:p>
        </w:tc>
        <w:tc>
          <w:tcPr>
            <w:tcW w:w="2092" w:type="dxa"/>
          </w:tcPr>
          <w:p w14:paraId="6B2BB55D">
            <w:pPr>
              <w:jc w:val="center"/>
              <w:rPr>
                <w:rFonts w:hint="default" w:cs="Times New Roman"/>
                <w:vertAlign w:val="baseline"/>
                <w:lang w:val="hr-HR"/>
              </w:rPr>
            </w:pPr>
            <w:r>
              <w:rPr>
                <w:rFonts w:hint="default" w:cs="Times New Roman"/>
                <w:vertAlign w:val="baseline"/>
                <w:lang w:val="hr-HR"/>
              </w:rPr>
              <w:t>6 = (4 X 5)</w:t>
            </w:r>
          </w:p>
        </w:tc>
      </w:tr>
      <w:tr w14:paraId="6B59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68426C9D">
            <w:pPr>
              <w:jc w:val="center"/>
              <w:rPr>
                <w:rFonts w:hint="default" w:cs="Times New Roman"/>
                <w:vertAlign w:val="baseline"/>
                <w:lang w:val="hr-HR"/>
              </w:rPr>
            </w:pPr>
            <w:r>
              <w:rPr>
                <w:rFonts w:hint="default" w:cs="Times New Roman"/>
                <w:vertAlign w:val="baseline"/>
                <w:lang w:val="hr-HR"/>
              </w:rPr>
              <w:t>1.</w:t>
            </w:r>
          </w:p>
        </w:tc>
        <w:tc>
          <w:tcPr>
            <w:tcW w:w="2865" w:type="dxa"/>
          </w:tcPr>
          <w:p w14:paraId="0BCC0D52">
            <w:pPr>
              <w:rPr>
                <w:rFonts w:hint="default" w:cs="Times New Roman"/>
                <w:sz w:val="22"/>
                <w:szCs w:val="22"/>
                <w:vertAlign w:val="baseline"/>
                <w:lang w:val="hr-HR"/>
              </w:rPr>
            </w:pPr>
            <w:r>
              <w:rPr>
                <w:rFonts w:hint="default" w:cs="Times New Roman"/>
                <w:sz w:val="22"/>
                <w:szCs w:val="22"/>
                <w:vertAlign w:val="baseline"/>
                <w:lang w:val="hr-HR"/>
              </w:rPr>
              <w:t>PISMOVNE POŠILJKE</w:t>
            </w:r>
          </w:p>
        </w:tc>
        <w:tc>
          <w:tcPr>
            <w:tcW w:w="885" w:type="dxa"/>
          </w:tcPr>
          <w:p w14:paraId="42450BEB">
            <w:pPr>
              <w:rPr>
                <w:rFonts w:hint="default" w:cs="Times New Roman"/>
                <w:vertAlign w:val="baseline"/>
                <w:lang w:val="hr-HR"/>
              </w:rPr>
            </w:pPr>
            <w:r>
              <w:rPr>
                <w:rFonts w:hint="default" w:cs="Times New Roman"/>
                <w:vertAlign w:val="baseline"/>
                <w:lang w:val="hr-HR"/>
              </w:rPr>
              <w:t>kom</w:t>
            </w:r>
          </w:p>
        </w:tc>
        <w:tc>
          <w:tcPr>
            <w:tcW w:w="1065" w:type="dxa"/>
          </w:tcPr>
          <w:p w14:paraId="1F0F54AF">
            <w:pPr>
              <w:rPr>
                <w:rFonts w:hint="default" w:cs="Times New Roman"/>
                <w:vertAlign w:val="baseline"/>
                <w:lang w:val="hr-HR"/>
              </w:rPr>
            </w:pPr>
            <w:r>
              <w:rPr>
                <w:rFonts w:hint="default" w:cs="Times New Roman"/>
                <w:vertAlign w:val="baseline"/>
                <w:lang w:val="hr-HR"/>
              </w:rPr>
              <w:t>9000</w:t>
            </w:r>
          </w:p>
        </w:tc>
        <w:tc>
          <w:tcPr>
            <w:tcW w:w="2040" w:type="dxa"/>
          </w:tcPr>
          <w:p w14:paraId="4F2DD104">
            <w:pPr>
              <w:rPr>
                <w:rFonts w:cs="Times New Roman"/>
                <w:vertAlign w:val="baseline"/>
              </w:rPr>
            </w:pPr>
          </w:p>
        </w:tc>
        <w:tc>
          <w:tcPr>
            <w:tcW w:w="2092" w:type="dxa"/>
          </w:tcPr>
          <w:p w14:paraId="1ABE1074">
            <w:pPr>
              <w:rPr>
                <w:rFonts w:cs="Times New Roman"/>
                <w:vertAlign w:val="baseline"/>
              </w:rPr>
            </w:pPr>
          </w:p>
        </w:tc>
      </w:tr>
      <w:tr w14:paraId="7AC6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28715601">
            <w:pPr>
              <w:jc w:val="center"/>
              <w:rPr>
                <w:rFonts w:hint="default" w:cs="Times New Roman"/>
                <w:vertAlign w:val="baseline"/>
                <w:lang w:val="hr-HR"/>
              </w:rPr>
            </w:pPr>
            <w:r>
              <w:rPr>
                <w:rFonts w:hint="default" w:cs="Times New Roman"/>
                <w:vertAlign w:val="baseline"/>
                <w:lang w:val="hr-HR"/>
              </w:rPr>
              <w:t>2.</w:t>
            </w:r>
          </w:p>
        </w:tc>
        <w:tc>
          <w:tcPr>
            <w:tcW w:w="2865" w:type="dxa"/>
          </w:tcPr>
          <w:p w14:paraId="106031BA">
            <w:pPr>
              <w:rPr>
                <w:rFonts w:hint="default" w:cs="Times New Roman"/>
                <w:sz w:val="22"/>
                <w:szCs w:val="22"/>
                <w:vertAlign w:val="baseline"/>
                <w:lang w:val="hr-HR"/>
              </w:rPr>
            </w:pPr>
            <w:r>
              <w:rPr>
                <w:rFonts w:hint="default" w:cs="Times New Roman"/>
                <w:sz w:val="22"/>
                <w:szCs w:val="22"/>
                <w:vertAlign w:val="baseline"/>
                <w:lang w:val="hr-HR"/>
              </w:rPr>
              <w:t>PREPORUČENE POŠILJKE</w:t>
            </w:r>
          </w:p>
        </w:tc>
        <w:tc>
          <w:tcPr>
            <w:tcW w:w="885" w:type="dxa"/>
          </w:tcPr>
          <w:p w14:paraId="4AAE30F4">
            <w:pPr>
              <w:rPr>
                <w:rFonts w:hint="default" w:cs="Times New Roman"/>
                <w:vertAlign w:val="baseline"/>
                <w:lang w:val="hr-HR"/>
              </w:rPr>
            </w:pPr>
            <w:r>
              <w:rPr>
                <w:rFonts w:hint="default" w:cs="Times New Roman"/>
                <w:vertAlign w:val="baseline"/>
                <w:lang w:val="hr-HR"/>
              </w:rPr>
              <w:t>kom</w:t>
            </w:r>
          </w:p>
        </w:tc>
        <w:tc>
          <w:tcPr>
            <w:tcW w:w="1065" w:type="dxa"/>
          </w:tcPr>
          <w:p w14:paraId="6936D00D">
            <w:pPr>
              <w:rPr>
                <w:rFonts w:hint="default" w:cs="Times New Roman"/>
                <w:vertAlign w:val="baseline"/>
                <w:lang w:val="hr-HR"/>
              </w:rPr>
            </w:pPr>
            <w:r>
              <w:rPr>
                <w:rFonts w:hint="default" w:cs="Times New Roman"/>
                <w:vertAlign w:val="baseline"/>
                <w:lang w:val="hr-HR"/>
              </w:rPr>
              <w:t>70</w:t>
            </w:r>
          </w:p>
        </w:tc>
        <w:tc>
          <w:tcPr>
            <w:tcW w:w="2040" w:type="dxa"/>
          </w:tcPr>
          <w:p w14:paraId="31902192">
            <w:pPr>
              <w:rPr>
                <w:rFonts w:cs="Times New Roman"/>
                <w:vertAlign w:val="baseline"/>
              </w:rPr>
            </w:pPr>
          </w:p>
        </w:tc>
        <w:tc>
          <w:tcPr>
            <w:tcW w:w="2092" w:type="dxa"/>
          </w:tcPr>
          <w:p w14:paraId="707077C7">
            <w:pPr>
              <w:rPr>
                <w:rFonts w:cs="Times New Roman"/>
                <w:vertAlign w:val="baseline"/>
              </w:rPr>
            </w:pPr>
          </w:p>
        </w:tc>
      </w:tr>
      <w:tr w14:paraId="7D42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204A0DE8">
            <w:pPr>
              <w:jc w:val="center"/>
              <w:rPr>
                <w:rFonts w:hint="default" w:cs="Times New Roman"/>
                <w:vertAlign w:val="baseline"/>
                <w:lang w:val="hr-HR"/>
              </w:rPr>
            </w:pPr>
            <w:r>
              <w:rPr>
                <w:rFonts w:hint="default" w:cs="Times New Roman"/>
                <w:vertAlign w:val="baseline"/>
                <w:lang w:val="hr-HR"/>
              </w:rPr>
              <w:t>3.</w:t>
            </w:r>
          </w:p>
        </w:tc>
        <w:tc>
          <w:tcPr>
            <w:tcW w:w="2865" w:type="dxa"/>
          </w:tcPr>
          <w:p w14:paraId="16EEDAD6">
            <w:pPr>
              <w:rPr>
                <w:rFonts w:hint="default" w:cs="Times New Roman"/>
                <w:sz w:val="22"/>
                <w:szCs w:val="22"/>
                <w:vertAlign w:val="baseline"/>
                <w:lang w:val="hr-HR"/>
              </w:rPr>
            </w:pPr>
            <w:r>
              <w:rPr>
                <w:rFonts w:hint="default" w:cs="Times New Roman"/>
                <w:sz w:val="22"/>
                <w:szCs w:val="22"/>
                <w:vertAlign w:val="baseline"/>
                <w:lang w:val="hr-HR"/>
              </w:rPr>
              <w:t xml:space="preserve">VRIJEDNOSNA POŠILJKA </w:t>
            </w:r>
          </w:p>
        </w:tc>
        <w:tc>
          <w:tcPr>
            <w:tcW w:w="885" w:type="dxa"/>
          </w:tcPr>
          <w:p w14:paraId="247C0DAD">
            <w:pPr>
              <w:rPr>
                <w:rFonts w:hint="default" w:cs="Times New Roman"/>
                <w:vertAlign w:val="baseline"/>
                <w:lang w:val="hr-HR"/>
              </w:rPr>
            </w:pPr>
            <w:r>
              <w:rPr>
                <w:rFonts w:hint="default" w:cs="Times New Roman"/>
                <w:vertAlign w:val="baseline"/>
                <w:lang w:val="hr-HR"/>
              </w:rPr>
              <w:t>kom</w:t>
            </w:r>
          </w:p>
        </w:tc>
        <w:tc>
          <w:tcPr>
            <w:tcW w:w="1065" w:type="dxa"/>
          </w:tcPr>
          <w:p w14:paraId="0D2C0215">
            <w:pPr>
              <w:rPr>
                <w:rFonts w:hint="default" w:cs="Times New Roman"/>
                <w:vertAlign w:val="baseline"/>
                <w:lang w:val="hr-HR"/>
              </w:rPr>
            </w:pPr>
            <w:r>
              <w:rPr>
                <w:rFonts w:hint="default" w:cs="Times New Roman"/>
                <w:vertAlign w:val="baseline"/>
                <w:lang w:val="hr-HR"/>
              </w:rPr>
              <w:t>15</w:t>
            </w:r>
          </w:p>
        </w:tc>
        <w:tc>
          <w:tcPr>
            <w:tcW w:w="2040" w:type="dxa"/>
          </w:tcPr>
          <w:p w14:paraId="0D15492D">
            <w:pPr>
              <w:rPr>
                <w:rFonts w:cs="Times New Roman"/>
                <w:vertAlign w:val="baseline"/>
              </w:rPr>
            </w:pPr>
          </w:p>
        </w:tc>
        <w:tc>
          <w:tcPr>
            <w:tcW w:w="2092" w:type="dxa"/>
          </w:tcPr>
          <w:p w14:paraId="3392ABDF">
            <w:pPr>
              <w:rPr>
                <w:rFonts w:cs="Times New Roman"/>
                <w:vertAlign w:val="baseline"/>
              </w:rPr>
            </w:pPr>
          </w:p>
        </w:tc>
      </w:tr>
      <w:tr w14:paraId="68AA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24" w:type="dxa"/>
          </w:tcPr>
          <w:p w14:paraId="4E6E2259">
            <w:pPr>
              <w:jc w:val="center"/>
              <w:rPr>
                <w:rFonts w:hint="default" w:cs="Times New Roman"/>
                <w:vertAlign w:val="baseline"/>
                <w:lang w:val="hr-HR"/>
              </w:rPr>
            </w:pPr>
            <w:r>
              <w:rPr>
                <w:rFonts w:hint="default" w:cs="Times New Roman"/>
                <w:vertAlign w:val="baseline"/>
                <w:lang w:val="hr-HR"/>
              </w:rPr>
              <w:t>4.</w:t>
            </w:r>
          </w:p>
        </w:tc>
        <w:tc>
          <w:tcPr>
            <w:tcW w:w="2865" w:type="dxa"/>
          </w:tcPr>
          <w:p w14:paraId="0F8607B8">
            <w:pPr>
              <w:rPr>
                <w:rFonts w:hint="default" w:cs="Times New Roman"/>
                <w:sz w:val="22"/>
                <w:szCs w:val="22"/>
                <w:vertAlign w:val="baseline"/>
                <w:lang w:val="hr-HR"/>
              </w:rPr>
            </w:pPr>
            <w:r>
              <w:rPr>
                <w:rFonts w:hint="default" w:cs="Times New Roman"/>
                <w:sz w:val="22"/>
                <w:szCs w:val="22"/>
                <w:vertAlign w:val="baseline"/>
                <w:lang w:val="hr-HR"/>
              </w:rPr>
              <w:t>POVRATNICA</w:t>
            </w:r>
          </w:p>
        </w:tc>
        <w:tc>
          <w:tcPr>
            <w:tcW w:w="885" w:type="dxa"/>
          </w:tcPr>
          <w:p w14:paraId="1932A8C3">
            <w:pPr>
              <w:rPr>
                <w:rFonts w:hint="default" w:cs="Times New Roman"/>
                <w:vertAlign w:val="baseline"/>
                <w:lang w:val="hr-HR"/>
              </w:rPr>
            </w:pPr>
            <w:r>
              <w:rPr>
                <w:rFonts w:hint="default" w:cs="Times New Roman"/>
                <w:vertAlign w:val="baseline"/>
                <w:lang w:val="hr-HR"/>
              </w:rPr>
              <w:t>kom</w:t>
            </w:r>
          </w:p>
        </w:tc>
        <w:tc>
          <w:tcPr>
            <w:tcW w:w="1065" w:type="dxa"/>
          </w:tcPr>
          <w:p w14:paraId="0D7BF610">
            <w:pPr>
              <w:rPr>
                <w:rFonts w:hint="default" w:cs="Times New Roman"/>
                <w:vertAlign w:val="baseline"/>
                <w:lang w:val="hr-HR"/>
              </w:rPr>
            </w:pPr>
            <w:r>
              <w:rPr>
                <w:rFonts w:hint="default" w:cs="Times New Roman"/>
                <w:vertAlign w:val="baseline"/>
                <w:lang w:val="hr-HR"/>
              </w:rPr>
              <w:t>50</w:t>
            </w:r>
          </w:p>
        </w:tc>
        <w:tc>
          <w:tcPr>
            <w:tcW w:w="2040" w:type="dxa"/>
          </w:tcPr>
          <w:p w14:paraId="0D73816F">
            <w:pPr>
              <w:rPr>
                <w:rFonts w:cs="Times New Roman"/>
                <w:vertAlign w:val="baseline"/>
              </w:rPr>
            </w:pPr>
          </w:p>
        </w:tc>
        <w:tc>
          <w:tcPr>
            <w:tcW w:w="2092" w:type="dxa"/>
          </w:tcPr>
          <w:p w14:paraId="636DD2AD">
            <w:pPr>
              <w:rPr>
                <w:rFonts w:cs="Times New Roman"/>
                <w:vertAlign w:val="baseline"/>
              </w:rPr>
            </w:pPr>
          </w:p>
        </w:tc>
      </w:tr>
      <w:tr w14:paraId="2CD5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9" w:type="dxa"/>
            <w:gridSpan w:val="5"/>
          </w:tcPr>
          <w:p w14:paraId="626F98CE">
            <w:pPr>
              <w:jc w:val="right"/>
              <w:rPr>
                <w:rFonts w:hint="default" w:cs="Times New Roman"/>
                <w:vertAlign w:val="baseline"/>
                <w:lang w:val="hr-HR"/>
              </w:rPr>
            </w:pPr>
            <w:r>
              <w:rPr>
                <w:rFonts w:hint="default" w:cs="Times New Roman"/>
                <w:vertAlign w:val="baseline"/>
                <w:lang w:val="hr-HR"/>
              </w:rPr>
              <w:t>UKUPNO BEZ PDV-a:</w:t>
            </w:r>
          </w:p>
        </w:tc>
        <w:tc>
          <w:tcPr>
            <w:tcW w:w="2092" w:type="dxa"/>
          </w:tcPr>
          <w:p w14:paraId="6ACC47AC">
            <w:pPr>
              <w:jc w:val="right"/>
              <w:rPr>
                <w:rFonts w:cs="Times New Roman"/>
                <w:vertAlign w:val="baseline"/>
              </w:rPr>
            </w:pPr>
          </w:p>
        </w:tc>
      </w:tr>
      <w:tr w14:paraId="7C15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9" w:type="dxa"/>
            <w:gridSpan w:val="5"/>
          </w:tcPr>
          <w:p w14:paraId="5B6C53A8">
            <w:pPr>
              <w:jc w:val="right"/>
              <w:rPr>
                <w:rFonts w:hint="default" w:cs="Times New Roman"/>
                <w:vertAlign w:val="baseline"/>
                <w:lang w:val="hr-HR"/>
              </w:rPr>
            </w:pPr>
            <w:r>
              <w:rPr>
                <w:rFonts w:hint="default" w:cs="Times New Roman"/>
                <w:vertAlign w:val="baseline"/>
                <w:lang w:val="hr-HR"/>
              </w:rPr>
              <w:t>IZNOS PDV-a:</w:t>
            </w:r>
          </w:p>
        </w:tc>
        <w:tc>
          <w:tcPr>
            <w:tcW w:w="2092" w:type="dxa"/>
          </w:tcPr>
          <w:p w14:paraId="7BF7DD91">
            <w:pPr>
              <w:jc w:val="right"/>
              <w:rPr>
                <w:rFonts w:cs="Times New Roman"/>
                <w:vertAlign w:val="baseline"/>
              </w:rPr>
            </w:pPr>
          </w:p>
        </w:tc>
      </w:tr>
      <w:tr w14:paraId="59BC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9" w:type="dxa"/>
            <w:gridSpan w:val="5"/>
          </w:tcPr>
          <w:p w14:paraId="23C4AD08">
            <w:pPr>
              <w:jc w:val="right"/>
              <w:rPr>
                <w:rFonts w:hint="default" w:cs="Times New Roman"/>
                <w:vertAlign w:val="baseline"/>
                <w:lang w:val="hr-HR"/>
              </w:rPr>
            </w:pPr>
            <w:r>
              <w:rPr>
                <w:rFonts w:hint="default" w:cs="Times New Roman"/>
                <w:vertAlign w:val="baseline"/>
                <w:lang w:val="hr-HR"/>
              </w:rPr>
              <w:t>UKUPNO SA PDV-om:</w:t>
            </w:r>
          </w:p>
        </w:tc>
        <w:tc>
          <w:tcPr>
            <w:tcW w:w="2092" w:type="dxa"/>
          </w:tcPr>
          <w:p w14:paraId="5646545E">
            <w:pPr>
              <w:jc w:val="right"/>
              <w:rPr>
                <w:rFonts w:cs="Times New Roman"/>
                <w:vertAlign w:val="baseline"/>
              </w:rPr>
            </w:pPr>
          </w:p>
        </w:tc>
      </w:tr>
    </w:tbl>
    <w:p w14:paraId="508BE577">
      <w:pPr>
        <w:rPr>
          <w:rFonts w:cs="Times New Roman"/>
        </w:rPr>
      </w:pPr>
    </w:p>
    <w:p w14:paraId="7E529FDB">
      <w:pPr>
        <w:rPr>
          <w:rFonts w:cs="Times New Roman"/>
        </w:rPr>
      </w:pPr>
    </w:p>
    <w:p w14:paraId="43A1843F">
      <w:pPr>
        <w:rPr>
          <w:rFonts w:cs="Times New Roman"/>
        </w:rPr>
      </w:pPr>
    </w:p>
    <w:p w14:paraId="601A0747">
      <w:pPr>
        <w:rPr>
          <w:rFonts w:cs="Times New Roman"/>
        </w:rPr>
      </w:pPr>
    </w:p>
    <w:p w14:paraId="5A61FC9B">
      <w:pPr>
        <w:rPr>
          <w:rFonts w:cs="Times New Roman"/>
        </w:rPr>
      </w:pPr>
    </w:p>
    <w:p w14:paraId="1D8BA4D0">
      <w:pPr>
        <w:rPr>
          <w:rFonts w:cs="Times New Roman"/>
        </w:rPr>
      </w:pPr>
    </w:p>
    <w:p w14:paraId="218AFF77">
      <w:pPr>
        <w:rPr>
          <w:rFonts w:cs="Times New Roman"/>
        </w:rPr>
      </w:pPr>
    </w:p>
    <w:p w14:paraId="125AA37B">
      <w:pPr>
        <w:rPr>
          <w:rFonts w:cs="Times New Roman"/>
        </w:rPr>
      </w:pPr>
    </w:p>
    <w:p w14:paraId="0920E8AF">
      <w:pPr>
        <w:rPr>
          <w:rFonts w:cs="Times New Roman"/>
        </w:rPr>
      </w:pPr>
      <w:r>
        <w:rPr>
          <w:rFonts w:cs="Times New Roman"/>
        </w:rPr>
        <w:t>U __________________ 202</w:t>
      </w:r>
      <w:r>
        <w:rPr>
          <w:rFonts w:hint="default" w:cs="Times New Roman"/>
          <w:lang w:val="hr-HR"/>
        </w:rPr>
        <w:t>5</w:t>
      </w:r>
      <w:r>
        <w:rPr>
          <w:rFonts w:cs="Times New Roman"/>
        </w:rPr>
        <w:t xml:space="preserve">. god.    </w:t>
      </w:r>
    </w:p>
    <w:p w14:paraId="4E8B4815">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_____________________</w:t>
      </w:r>
    </w:p>
    <w:p w14:paraId="5059248C">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(potpis ponuditelja)</w:t>
      </w:r>
    </w:p>
    <w:p w14:paraId="06DBDD50">
      <w:pPr>
        <w:rPr>
          <w:rFonts w:cs="Times New Roman"/>
        </w:rPr>
      </w:pPr>
    </w:p>
    <w:p w14:paraId="7CDD6DBE">
      <w:pPr>
        <w:rPr>
          <w:rFonts w:cs="Times New Roman"/>
        </w:rPr>
      </w:pPr>
      <w:r>
        <w:rPr>
          <w:rFonts w:cs="Times New Roman"/>
        </w:rPr>
        <w:br w:type="page"/>
      </w: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2C06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3D1D670B">
            <w:pPr>
              <w:rPr>
                <w:rFonts w:cs="Times New Roman"/>
                <w:b/>
              </w:rPr>
            </w:pPr>
            <w:r>
              <w:rPr>
                <w:rFonts w:cs="Times New Roman"/>
                <w:b/>
              </w:rPr>
              <w:t>PRILOG 3</w:t>
            </w:r>
            <w:r>
              <w:rPr>
                <w:rFonts w:hint="default" w:cs="Times New Roman"/>
                <w:b/>
                <w:lang w:val="hr-HR"/>
              </w:rPr>
              <w:t xml:space="preserve">                            </w:t>
            </w:r>
            <w:r>
              <w:rPr>
                <w:rFonts w:cs="Times New Roman"/>
                <w:b/>
              </w:rPr>
              <w:t>IZJAV</w:t>
            </w:r>
            <w:r>
              <w:rPr>
                <w:rFonts w:hint="default" w:cs="Times New Roman"/>
                <w:b/>
                <w:lang w:val="hr-HR"/>
              </w:rPr>
              <w:t>A</w:t>
            </w:r>
            <w:r>
              <w:rPr>
                <w:rFonts w:cs="Times New Roman"/>
                <w:b/>
              </w:rPr>
              <w:t xml:space="preserve"> O NEKAŽNJAVANJU</w:t>
            </w:r>
          </w:p>
        </w:tc>
      </w:tr>
    </w:tbl>
    <w:p w14:paraId="099549AF">
      <w:pPr>
        <w:rPr>
          <w:rFonts w:cs="Times New Roman"/>
          <w:lang w:val="hr-HR" w:eastAsia="hr-HR" w:bidi="ar-SA"/>
        </w:rPr>
      </w:pPr>
    </w:p>
    <w:p w14:paraId="2A7A2B73">
      <w:pPr>
        <w:rPr>
          <w:rFonts w:hint="default" w:cs="Times New Roman"/>
          <w:lang w:val="en-US" w:eastAsia="hr-HR" w:bidi="ar-SA"/>
        </w:rPr>
      </w:pPr>
      <w:r>
        <w:rPr>
          <w:rFonts w:cs="Times New Roman"/>
          <w:lang w:val="hr-HR" w:eastAsia="hr-HR" w:bidi="ar-SA"/>
        </w:rPr>
        <w:t xml:space="preserve">Temeljem čl. 265. st. 2., a u svezi čl. 251. Zakona o javnoj nabavi („Narodne novine“ broj: 120/2016, 114/22) dajem </w:t>
      </w:r>
      <w:r>
        <w:rPr>
          <w:rFonts w:hint="default" w:cs="Times New Roman"/>
          <w:lang w:val="en-US" w:eastAsia="hr-HR" w:bidi="ar-SA"/>
        </w:rPr>
        <w:t>izjavu</w:t>
      </w:r>
    </w:p>
    <w:p w14:paraId="0D7870B2">
      <w:pPr>
        <w:jc w:val="left"/>
        <w:rPr>
          <w:rFonts w:cs="Times New Roman"/>
          <w:lang w:val="hr-HR" w:eastAsia="hr-HR" w:bidi="ar-SA"/>
        </w:rPr>
      </w:pPr>
      <w:r>
        <w:rPr>
          <w:rFonts w:cs="Times New Roman"/>
          <w:lang w:val="hr-HR" w:eastAsia="hr-HR" w:bidi="ar-SA"/>
        </w:rPr>
        <w:t xml:space="preserve">Kojom ja ____________________________________________________________________________ </w:t>
      </w:r>
    </w:p>
    <w:p w14:paraId="608813F6">
      <w:pPr>
        <w:spacing w:line="240" w:lineRule="auto"/>
        <w:rPr>
          <w:rFonts w:cs="Times New Roman"/>
          <w:lang w:val="hr-HR" w:eastAsia="hr-HR" w:bidi="ar-SA"/>
        </w:rPr>
      </w:pPr>
      <w:r>
        <w:rPr>
          <w:rFonts w:cs="Times New Roman"/>
          <w:lang w:val="hr-HR" w:eastAsia="hr-HR" w:bidi="ar-SA"/>
        </w:rPr>
        <w:t>(ime i prezime, OIB, adresa, broj osobne iskaznice i naziv izdavatelja)</w:t>
      </w:r>
    </w:p>
    <w:p w14:paraId="5F72A027">
      <w:pPr>
        <w:rPr>
          <w:rFonts w:cs="Times New Roman"/>
          <w:lang w:val="hr-HR" w:eastAsia="hr-HR" w:bidi="ar-SA"/>
        </w:rPr>
      </w:pPr>
      <w:r>
        <w:rPr>
          <w:rFonts w:cs="Times New Roman"/>
          <w:lang w:val="hr-HR" w:eastAsia="hr-HR" w:bidi="ar-SA"/>
        </w:rPr>
        <w:t xml:space="preserve">____________________________________________________________________________, </w:t>
      </w:r>
    </w:p>
    <w:p w14:paraId="4B76E590">
      <w:pPr>
        <w:rPr>
          <w:rFonts w:cs="Times New Roman"/>
          <w:lang w:val="hr-HR" w:eastAsia="hr-HR" w:bidi="ar-SA"/>
        </w:rPr>
      </w:pPr>
    </w:p>
    <w:p w14:paraId="2B51A6A5">
      <w:pPr>
        <w:rPr>
          <w:rFonts w:cs="Times New Roman"/>
          <w:lang w:val="hr-HR" w:eastAsia="hr-HR" w:bidi="ar-SA"/>
        </w:rPr>
      </w:pPr>
      <w:r>
        <w:rPr>
          <w:rFonts w:cs="Times New Roman"/>
          <w:lang w:val="hr-HR" w:eastAsia="hr-HR" w:bidi="ar-SA"/>
        </w:rPr>
        <w:t>kao osoba ovlaštena po zakonu za zastupanje pravne osobe:</w:t>
      </w:r>
    </w:p>
    <w:p w14:paraId="7672DFE7">
      <w:pPr>
        <w:rPr>
          <w:rFonts w:cs="Times New Roman"/>
          <w:lang w:val="hr-HR" w:eastAsia="hr-HR" w:bidi="ar-SA"/>
        </w:rPr>
      </w:pPr>
      <w:r>
        <w:rPr>
          <w:rFonts w:cs="Times New Roman"/>
          <w:lang w:val="hr-HR" w:eastAsia="hr-HR" w:bidi="ar-SA"/>
        </w:rPr>
        <w:t>____________________________________________________________________________</w:t>
      </w:r>
    </w:p>
    <w:p w14:paraId="3004AA90">
      <w:pPr>
        <w:rPr>
          <w:rFonts w:cs="Times New Roman"/>
          <w:lang w:val="hr-HR" w:eastAsia="hr-HR" w:bidi="ar-SA"/>
        </w:rPr>
      </w:pPr>
      <w:r>
        <w:rPr>
          <w:rFonts w:cs="Times New Roman"/>
          <w:szCs w:val="24"/>
          <w:lang w:val="hr-HR" w:eastAsia="hr-HR" w:bidi="ar-SA"/>
        </w:rPr>
        <w:t>(</w:t>
      </w:r>
      <w:r>
        <w:rPr>
          <w:rFonts w:cs="Times New Roman"/>
          <w:lang w:val="hr-HR" w:eastAsia="hr-HR" w:bidi="ar-SA"/>
        </w:rPr>
        <w:t>naziv i sjedište gospodarskog subjekta, OIB)</w:t>
      </w:r>
    </w:p>
    <w:p w14:paraId="3E1023B7">
      <w:pPr>
        <w:rPr>
          <w:rFonts w:cs="Times New Roman"/>
          <w:lang w:val="hr-HR" w:eastAsia="hr-HR" w:bidi="ar-SA"/>
        </w:rPr>
      </w:pPr>
    </w:p>
    <w:p w14:paraId="0C36EF50">
      <w:pPr>
        <w:rPr>
          <w:rFonts w:cs="Times New Roman"/>
          <w:lang w:val="hr-HR" w:eastAsia="hr-HR" w:bidi="ar-SA"/>
        </w:rPr>
      </w:pPr>
      <w:r>
        <w:rPr>
          <w:rFonts w:cs="Times New Roman"/>
          <w:lang w:val="hr-HR" w:eastAsia="hr-HR" w:bidi="ar-SA"/>
        </w:rPr>
        <w:t xml:space="preserve">Izjavljujem da </w:t>
      </w:r>
    </w:p>
    <w:p w14:paraId="32877CA5">
      <w:pPr>
        <w:rPr>
          <w:rFonts w:cs="Times New Roman"/>
          <w:lang w:val="hr-HR" w:eastAsia="hr-HR" w:bidi="ar-SA"/>
        </w:rPr>
      </w:pPr>
      <w:r>
        <w:rPr>
          <w:rFonts w:cs="Times New Roman"/>
          <w:lang w:val="hr-HR" w:eastAsia="hr-HR" w:bidi="ar-SA"/>
        </w:rPr>
        <w:t xml:space="preserve">1.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w:t>
      </w:r>
      <w:r>
        <w:rPr>
          <w:rFonts w:cs="Times New Roman"/>
          <w:b/>
          <w:lang w:val="hr-HR" w:eastAsia="hr-HR" w:bidi="ar-SA"/>
        </w:rPr>
        <w:t>NIJE</w:t>
      </w:r>
      <w:r>
        <w:rPr>
          <w:rFonts w:cs="Times New Roman"/>
          <w:lang w:val="hr-HR" w:eastAsia="hr-HR" w:bidi="ar-SA"/>
        </w:rPr>
        <w:t xml:space="preserve"> osuđena za:</w:t>
      </w:r>
    </w:p>
    <w:p w14:paraId="12C5A2B5">
      <w:pPr>
        <w:rPr>
          <w:rFonts w:cs="Times New Roman"/>
          <w:lang w:val="hr-HR" w:eastAsia="hr-HR" w:bidi="ar-SA"/>
        </w:rPr>
      </w:pPr>
      <w:r>
        <w:rPr>
          <w:rFonts w:cs="Times New Roman"/>
          <w:lang w:val="hr-HR" w:eastAsia="hr-HR" w:bidi="ar-SA"/>
        </w:rPr>
        <w:t>a) sudjelovanje u zločinačkoj organizaciji, na temelju</w:t>
      </w:r>
    </w:p>
    <w:p w14:paraId="42FFA849">
      <w:pPr>
        <w:rPr>
          <w:rFonts w:cs="Times New Roman"/>
          <w:lang w:val="hr-HR" w:eastAsia="hr-HR" w:bidi="ar-SA"/>
        </w:rPr>
      </w:pPr>
      <w:r>
        <w:rPr>
          <w:rFonts w:cs="Times New Roman"/>
          <w:lang w:val="hr-HR" w:eastAsia="hr-HR" w:bidi="ar-SA"/>
        </w:rPr>
        <w:t>– članka 328. (zločinačko udruženje) i članka 329. (počinjenje kaznenog djela u sastavu zločinačkog udruženja) Kaznenog zakona</w:t>
      </w:r>
    </w:p>
    <w:p w14:paraId="64E7CAA4">
      <w:pPr>
        <w:rPr>
          <w:rFonts w:cs="Times New Roman"/>
          <w:lang w:val="hr-HR" w:eastAsia="hr-HR" w:bidi="ar-SA"/>
        </w:rPr>
      </w:pPr>
      <w:r>
        <w:rPr>
          <w:rFonts w:cs="Times New Roman"/>
          <w:lang w:val="hr-HR" w:eastAsia="hr-HR" w:bidi="ar-SA"/>
        </w:rPr>
        <w:t>– članka 333. (udruživanje za počinjenje kaznenih djela), iz Kaznenog zakona (»Narodne novine«, br. 110/97., 27/98., 50/00., 129/00., 51/01., 111/03., 190/03., 105/04., 84/05., 71/06., 110/07., 152/08., 57/11., 77/11. i 143/12.)</w:t>
      </w:r>
    </w:p>
    <w:p w14:paraId="2B55D26A">
      <w:pPr>
        <w:rPr>
          <w:rFonts w:cs="Times New Roman"/>
          <w:lang w:val="hr-HR" w:eastAsia="hr-HR" w:bidi="ar-SA"/>
        </w:rPr>
      </w:pPr>
      <w:r>
        <w:rPr>
          <w:rFonts w:cs="Times New Roman"/>
          <w:lang w:val="hr-HR" w:eastAsia="hr-HR" w:bidi="ar-SA"/>
        </w:rPr>
        <w:t>b) korupciju, na temelju</w:t>
      </w:r>
    </w:p>
    <w:p w14:paraId="1676085F">
      <w:pPr>
        <w:rPr>
          <w:rFonts w:cs="Times New Roman"/>
          <w:lang w:val="hr-HR" w:eastAsia="hr-HR" w:bidi="ar-SA"/>
        </w:rPr>
      </w:pPr>
      <w:r>
        <w:rPr>
          <w:rFonts w:cs="Times New Roman"/>
          <w:lang w:val="hr-HR" w:eastAsia="hr-HR" w:bidi="ar-SA"/>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92BF283">
      <w:pPr>
        <w:rPr>
          <w:rFonts w:cs="Times New Roman"/>
          <w:lang w:val="hr-HR" w:eastAsia="hr-HR" w:bidi="ar-SA"/>
        </w:rPr>
      </w:pPr>
      <w:r>
        <w:rPr>
          <w:rFonts w:cs="Times New Roman"/>
          <w:lang w:val="hr-HR" w:eastAsia="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60368CD">
      <w:pPr>
        <w:rPr>
          <w:rFonts w:cs="Times New Roman"/>
          <w:lang w:val="hr-HR" w:eastAsia="hr-HR" w:bidi="ar-SA"/>
        </w:rPr>
      </w:pPr>
      <w:r>
        <w:rPr>
          <w:rFonts w:cs="Times New Roman"/>
          <w:lang w:val="hr-HR" w:eastAsia="hr-HR" w:bidi="ar-SA"/>
        </w:rPr>
        <w:t>c) prijevaru, na temelju</w:t>
      </w:r>
    </w:p>
    <w:p w14:paraId="3BD858D0">
      <w:pPr>
        <w:rPr>
          <w:rFonts w:cs="Times New Roman"/>
          <w:lang w:val="hr-HR" w:eastAsia="hr-HR" w:bidi="ar-SA"/>
        </w:rPr>
      </w:pPr>
      <w:r>
        <w:rPr>
          <w:rFonts w:cs="Times New Roman"/>
          <w:lang w:val="hr-HR" w:eastAsia="hr-HR" w:bidi="ar-SA"/>
        </w:rPr>
        <w:t>– članka 236. (prijevara), članka 247. (prijevara u gospodarskom poslovanju), članka 256. (utaja poreza ili carine) i članka 258. (subvencijska prijevara) Kaznenog zakona</w:t>
      </w:r>
    </w:p>
    <w:p w14:paraId="75D40351">
      <w:pPr>
        <w:rPr>
          <w:rFonts w:cs="Times New Roman"/>
          <w:lang w:val="hr-HR" w:eastAsia="hr-HR" w:bidi="ar-SA"/>
        </w:rPr>
      </w:pPr>
      <w:r>
        <w:rPr>
          <w:rFonts w:cs="Times New Roman"/>
          <w:lang w:val="hr-HR" w:eastAsia="hr-HR" w:bidi="ar-SA"/>
        </w:rPr>
        <w:t>– članka 224. (prijevara), članka 293. (prijevara u gospodarskom poslovanju) i članka 286. (utaja poreza i drugih davanja) iz Kaznenog zakona (»Narodne novine«, br. 110/97., 27/98., 50/00., 129/00., 51/01., 111/03., 190/03., 105/04., 84/05., 71/06., 110/07., 152/08., 57/11., 77/11. i 143/12.)</w:t>
      </w:r>
    </w:p>
    <w:p w14:paraId="61903FDF">
      <w:pPr>
        <w:rPr>
          <w:rFonts w:cs="Times New Roman"/>
          <w:lang w:val="hr-HR" w:eastAsia="hr-HR" w:bidi="ar-SA"/>
        </w:rPr>
      </w:pPr>
      <w:r>
        <w:rPr>
          <w:rFonts w:cs="Times New Roman"/>
          <w:lang w:val="hr-HR" w:eastAsia="hr-HR" w:bidi="ar-SA"/>
        </w:rPr>
        <w:t>d) terorizam ili kaznena djela povezana s terorističkim aktivnostima, na temelju</w:t>
      </w:r>
    </w:p>
    <w:p w14:paraId="75EF3B2E">
      <w:pPr>
        <w:rPr>
          <w:rFonts w:cs="Times New Roman"/>
          <w:lang w:val="hr-HR" w:eastAsia="hr-HR" w:bidi="ar-SA"/>
        </w:rPr>
      </w:pPr>
      <w:r>
        <w:rPr>
          <w:rFonts w:cs="Times New Roman"/>
          <w:lang w:val="hr-HR" w:eastAsia="hr-HR" w:bidi="ar-SA"/>
        </w:rPr>
        <w:t>– članka 97. (terorizam), članka 99. (javno poticanje na terorizam), članka 100. (novačenje za terorizam), članka 101. (obuka za terorizam) i članka 102. (terorističko udruženje) Kaznenog zakona</w:t>
      </w:r>
    </w:p>
    <w:p w14:paraId="75BE4680">
      <w:pPr>
        <w:rPr>
          <w:rFonts w:cs="Times New Roman"/>
          <w:lang w:val="hr-HR" w:eastAsia="hr-HR" w:bidi="ar-SA"/>
        </w:rPr>
      </w:pPr>
      <w:r>
        <w:rPr>
          <w:rFonts w:cs="Times New Roman"/>
          <w:lang w:val="hr-HR" w:eastAsia="hr-HR" w:bidi="ar-SA"/>
        </w:rPr>
        <w:t>– članka 169. (terorizam), članka 169.a (javno poticanje na terorizam) i članka 169.b (novačenje i obuka za terorizam) iz Kaznenog zakona (»Narodne novine«, br. 110/97., 27/98., 50/00., 129/00., 51/01., 111/03., 190/03., 105/04., 84/05., 71/06., 110/07., 152/08., 57/11., 77/11. i 143/12.)</w:t>
      </w:r>
    </w:p>
    <w:p w14:paraId="1FA380D5">
      <w:pPr>
        <w:rPr>
          <w:rFonts w:cs="Times New Roman"/>
          <w:lang w:val="hr-HR" w:eastAsia="hr-HR" w:bidi="ar-SA"/>
        </w:rPr>
      </w:pPr>
      <w:r>
        <w:rPr>
          <w:rFonts w:cs="Times New Roman"/>
          <w:lang w:val="hr-HR" w:eastAsia="hr-HR" w:bidi="ar-SA"/>
        </w:rPr>
        <w:t>e) pranje novca ili financiranje terorizma, na temelju</w:t>
      </w:r>
    </w:p>
    <w:p w14:paraId="5E92273F">
      <w:pPr>
        <w:rPr>
          <w:rFonts w:cs="Times New Roman"/>
          <w:lang w:val="hr-HR" w:eastAsia="hr-HR" w:bidi="ar-SA"/>
        </w:rPr>
      </w:pPr>
      <w:r>
        <w:rPr>
          <w:rFonts w:cs="Times New Roman"/>
          <w:lang w:val="hr-HR" w:eastAsia="hr-HR" w:bidi="ar-SA"/>
        </w:rPr>
        <w:t>– članka 98. (financiranje terorizma) i članka 265. (pranje novca) Kaznenog zakona</w:t>
      </w:r>
    </w:p>
    <w:p w14:paraId="27F87ABF">
      <w:pPr>
        <w:rPr>
          <w:rFonts w:cs="Times New Roman"/>
          <w:lang w:val="hr-HR" w:eastAsia="hr-HR" w:bidi="ar-SA"/>
        </w:rPr>
      </w:pPr>
      <w:r>
        <w:rPr>
          <w:rFonts w:cs="Times New Roman"/>
          <w:lang w:val="hr-HR" w:eastAsia="hr-HR" w:bidi="ar-SA"/>
        </w:rPr>
        <w:t>– članka 279. (pranje novca) iz Kaznenog zakona (»Narodne novine«, br. 110/97., 27/98., 50/00., 129/00., 51/01., 111/03., 190/03., 105/04., 84/05., 71/06., 110/07., 152/08., 57/11., 77/11. i 143/12.)</w:t>
      </w:r>
    </w:p>
    <w:p w14:paraId="0289C995">
      <w:pPr>
        <w:rPr>
          <w:rFonts w:cs="Times New Roman"/>
          <w:lang w:val="hr-HR" w:eastAsia="hr-HR" w:bidi="ar-SA"/>
        </w:rPr>
      </w:pPr>
      <w:r>
        <w:rPr>
          <w:rFonts w:cs="Times New Roman"/>
          <w:lang w:val="hr-HR" w:eastAsia="hr-HR" w:bidi="ar-SA"/>
        </w:rPr>
        <w:t>f) dječji rad ili druge oblike trgovanja ljudima, na temelju</w:t>
      </w:r>
    </w:p>
    <w:p w14:paraId="7B070496">
      <w:pPr>
        <w:rPr>
          <w:rFonts w:cs="Times New Roman"/>
          <w:lang w:val="hr-HR" w:eastAsia="hr-HR" w:bidi="ar-SA"/>
        </w:rPr>
      </w:pPr>
      <w:r>
        <w:rPr>
          <w:rFonts w:cs="Times New Roman"/>
          <w:lang w:val="hr-HR" w:eastAsia="hr-HR" w:bidi="ar-SA"/>
        </w:rPr>
        <w:t>– članka 106. (trgovanje ljudima) Kaznenog zakona</w:t>
      </w:r>
    </w:p>
    <w:p w14:paraId="5747D5D2">
      <w:pPr>
        <w:rPr>
          <w:rFonts w:cs="Times New Roman"/>
          <w:lang w:val="hr-HR" w:eastAsia="hr-HR" w:bidi="ar-SA"/>
        </w:rPr>
      </w:pPr>
      <w:r>
        <w:rPr>
          <w:rFonts w:cs="Times New Roman"/>
          <w:lang w:val="hr-HR" w:eastAsia="hr-HR" w:bidi="ar-SA"/>
        </w:rPr>
        <w:t>– članka 175. (trgovanje ljudima i ropstvo) iz Kaznenog zakona (»Narodne novine«, br. 110/97., 27/98., 50/00., 129/00., 51/01., 111/03., 190/03., 105/04., 84/05., 71/06., 110/07., 152/08., 57/11., 77/11. i 143/12.), ili</w:t>
      </w:r>
    </w:p>
    <w:p w14:paraId="79E2B646">
      <w:pPr>
        <w:rPr>
          <w:rFonts w:cs="Times New Roman"/>
          <w:lang w:val="hr-HR" w:eastAsia="hr-HR" w:bidi="ar-SA"/>
        </w:rPr>
      </w:pPr>
      <w:r>
        <w:rPr>
          <w:rFonts w:cs="Times New Roman"/>
          <w:lang w:val="hr-HR" w:eastAsia="hr-HR" w:bidi="ar-SA"/>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w:t>
      </w:r>
      <w:r>
        <w:rPr>
          <w:rFonts w:cs="Times New Roman"/>
          <w:b/>
          <w:lang w:val="hr-HR" w:eastAsia="hr-HR" w:bidi="ar-SA"/>
        </w:rPr>
        <w:t>NIJE</w:t>
      </w:r>
      <w:r>
        <w:rPr>
          <w:rFonts w:cs="Times New Roman"/>
          <w:lang w:val="hr-HR" w:eastAsia="hr-HR" w:bidi="ar-SA"/>
        </w:rPr>
        <w:t xml:space="preserv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977853B">
      <w:pPr>
        <w:rPr>
          <w:rFonts w:cs="Times New Roman"/>
          <w:lang w:val="hr-HR" w:eastAsia="hr-HR" w:bidi="ar-SA"/>
        </w:rPr>
      </w:pPr>
    </w:p>
    <w:p w14:paraId="493EEE31">
      <w:pPr>
        <w:rPr>
          <w:rFonts w:cs="Times New Roman"/>
          <w:lang w:val="hr-HR" w:eastAsia="hr-HR" w:bidi="ar-SA"/>
        </w:rPr>
      </w:pPr>
    </w:p>
    <w:p w14:paraId="0E44ABC4">
      <w:pPr>
        <w:rPr>
          <w:rFonts w:cs="Times New Roman"/>
        </w:rPr>
      </w:pPr>
      <w:r>
        <w:rPr>
          <w:rFonts w:cs="Times New Roman"/>
        </w:rPr>
        <w:t>U ________________________________________ 202</w:t>
      </w:r>
      <w:r>
        <w:rPr>
          <w:rFonts w:hint="default" w:cs="Times New Roman"/>
          <w:lang w:val="hr-HR"/>
        </w:rPr>
        <w:t>5</w:t>
      </w:r>
      <w:r>
        <w:rPr>
          <w:rFonts w:cs="Times New Roman"/>
        </w:rPr>
        <w:t xml:space="preserve">. god.      </w:t>
      </w:r>
    </w:p>
    <w:p w14:paraId="7B7E2922">
      <w:pPr>
        <w:ind w:left="3540"/>
        <w:rPr>
          <w:rFonts w:cs="Times New Roman"/>
          <w:lang w:val="hr-HR" w:eastAsia="hr-HR" w:bidi="ar-SA"/>
        </w:rPr>
      </w:pPr>
      <w:r>
        <w:rPr>
          <w:rFonts w:cs="Times New Roman"/>
          <w:lang w:val="hr-HR" w:eastAsia="hr-HR" w:bidi="ar-SA"/>
        </w:rPr>
        <w:t xml:space="preserve">                                                                                                        ____________________________________________</w:t>
      </w:r>
    </w:p>
    <w:p w14:paraId="31FD00A1">
      <w:pPr>
        <w:rPr>
          <w:rFonts w:cs="Times New Roman"/>
          <w:lang w:val="hr-HR" w:eastAsia="hr-HR" w:bidi="ar-SA"/>
        </w:rPr>
      </w:pPr>
      <w:r>
        <w:rPr>
          <w:rFonts w:cs="Times New Roman"/>
          <w:lang w:val="hr-HR" w:eastAsia="hr-HR" w:bidi="ar-SA"/>
        </w:rPr>
        <w:t xml:space="preserve">     </w:t>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 xml:space="preserve">     (čitko ime i prezime ovlaštene osobe ponuditelja) </w:t>
      </w:r>
    </w:p>
    <w:p w14:paraId="520DDCF4">
      <w:pPr>
        <w:rPr>
          <w:rFonts w:cs="Times New Roman"/>
        </w:rPr>
      </w:pPr>
    </w:p>
    <w:p w14:paraId="78E26CE1">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 xml:space="preserve"> _________________________________________</w:t>
      </w:r>
    </w:p>
    <w:p w14:paraId="2177F7B0">
      <w:pPr>
        <w:ind w:left="4248"/>
        <w:rPr>
          <w:rFonts w:cs="Times New Roman"/>
          <w:lang w:val="hr-HR" w:eastAsia="hr-HR" w:bidi="ar-SA"/>
        </w:rPr>
      </w:pPr>
      <w:r>
        <w:rPr>
          <w:rFonts w:cs="Times New Roman"/>
          <w:lang w:val="hr-HR" w:eastAsia="hr-HR" w:bidi="ar-SA"/>
        </w:rPr>
        <w:t xml:space="preserve">                                                                                                                                                      (potpis ovlaštene osobe ponuditelja) </w:t>
      </w:r>
    </w:p>
    <w:p w14:paraId="1265EFD6">
      <w:pPr>
        <w:rPr>
          <w:rFonts w:cs="Times New Roman"/>
          <w:lang w:val="hr-HR" w:eastAsia="hr-HR" w:bidi="ar-SA"/>
        </w:rPr>
      </w:pPr>
    </w:p>
    <w:p w14:paraId="6BAE907F">
      <w:pPr>
        <w:rPr>
          <w:rFonts w:cs="Times New Roman"/>
          <w:lang w:val="hr-HR" w:eastAsia="hr-HR" w:bidi="ar-SA"/>
        </w:rPr>
      </w:pPr>
    </w:p>
    <w:p w14:paraId="22EA5B57">
      <w:pPr>
        <w:rPr>
          <w:rFonts w:cs="Times New Roman"/>
          <w:lang w:val="hr-HR" w:eastAsia="hr-HR" w:bidi="ar-SA"/>
        </w:rPr>
      </w:pPr>
    </w:p>
    <w:p w14:paraId="13BECE2F">
      <w:pPr>
        <w:rPr>
          <w:rFonts w:cs="Times New Roman"/>
        </w:rPr>
      </w:pPr>
    </w:p>
    <w:sectPr>
      <w:headerReference r:id="rId5" w:type="first"/>
      <w:footerReference r:id="rId7" w:type="first"/>
      <w:footerReference r:id="rId6" w:type="default"/>
      <w:pgSz w:w="11906" w:h="16838"/>
      <w:pgMar w:top="1417" w:right="1134" w:bottom="1134" w:left="1417" w:header="0" w:footer="283" w:gutter="0"/>
      <w:cols w:space="720" w:num="1"/>
      <w:formProt w:val="0"/>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EE"/>
    <w:family w:val="roman"/>
    <w:pitch w:val="default"/>
    <w:sig w:usb0="E00006FF" w:usb1="420024FF" w:usb2="02000000" w:usb3="00000000" w:csb0="2000019F" w:csb1="00000000"/>
  </w:font>
  <w:font w:name="Tahoma">
    <w:panose1 w:val="020B0604030504040204"/>
    <w:charset w:val="EE"/>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angal">
    <w:altName w:val="Segoe Print"/>
    <w:panose1 w:val="00000400000000000000"/>
    <w:charset w:val="01"/>
    <w:family w:val="roman"/>
    <w:pitch w:val="default"/>
    <w:sig w:usb0="00000000" w:usb1="00000000" w:usb2="00000000" w:usb3="00000000" w:csb0="00000000" w:csb1="00000000"/>
  </w:font>
  <w:font w:name="Liberation Sans">
    <w:altName w:val="Times New Roman"/>
    <w:panose1 w:val="00000000000000000000"/>
    <w:charset w:val="EE"/>
    <w:family w:val="auto"/>
    <w:pitch w:val="default"/>
    <w:sig w:usb0="00000000" w:usb1="00000000"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5D052">
    <w:pPr>
      <w:pStyle w:val="46"/>
      <w:jc w:val="center"/>
      <w:rPr>
        <w:sz w:val="16"/>
        <w:szCs w:val="16"/>
      </w:rPr>
    </w:pPr>
    <w:r>
      <w:rPr>
        <w:lang w:bidi="ar-SA"/>
      </w:rPr>
      <mc:AlternateContent>
        <mc:Choice Requires="wps">
          <w:drawing>
            <wp:anchor distT="0" distB="0" distL="114300" distR="114300" simplePos="0" relativeHeight="251660288" behindDoc="0" locked="0" layoutInCell="1" allowOverlap="1">
              <wp:simplePos x="0" y="0"/>
              <wp:positionH relativeFrom="margin">
                <wp:posOffset>6188710</wp:posOffset>
              </wp:positionH>
              <wp:positionV relativeFrom="paragraph">
                <wp:posOffset>154305</wp:posOffset>
              </wp:positionV>
              <wp:extent cx="167640" cy="182880"/>
              <wp:effectExtent l="0" t="0" r="3810" b="7620"/>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wps:spPr>
                    <wps:txbx>
                      <w:txbxContent>
                        <w:p w14:paraId="5B79EBE0">
                          <w:pPr>
                            <w:pStyle w:val="56"/>
                          </w:pPr>
                          <w:r>
                            <w:fldChar w:fldCharType="begin"/>
                          </w:r>
                          <w:r>
                            <w:instrText xml:space="preserve">PAGE</w:instrText>
                          </w:r>
                          <w:r>
                            <w:fldChar w:fldCharType="separate"/>
                          </w:r>
                          <w:r>
                            <w:t>14</w:t>
                          </w:r>
                          <w:r>
                            <w:fldChar w:fldCharType="end"/>
                          </w:r>
                        </w:p>
                      </w:txbxContent>
                    </wps:txbx>
                    <wps:bodyPr rot="0" vert="horz" wrap="square" lIns="0" tIns="0" rIns="0" bIns="0" anchor="t" anchorCtr="0" upright="1">
                      <a:noAutofit/>
                    </wps:bodyPr>
                  </wps:wsp>
                </a:graphicData>
              </a:graphic>
            </wp:anchor>
          </w:drawing>
        </mc:Choice>
        <mc:Fallback>
          <w:pict>
            <v:rect id="Rectangle 2" o:spid="_x0000_s1026" o:spt="1" style="position:absolute;left:0pt;margin-left:487.3pt;margin-top:12.15pt;height:14.4pt;width:13.2pt;mso-position-horizontal-relative:margin;z-index:251660288;mso-width-relative:page;mso-height-relative:page;" fillcolor="#FFFFFF" filled="t" stroked="f" coordsize="21600,21600" o:gfxdata="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BFKyHXAAAACgEAAA8AAAAAAAAAAQAgAAAA&#10;IgAAAGRycy9kb3ducmV2LnhtbFBLAQIUABQAAAAIAIdO4kB0tI1GDAIAACMEAAAOAAAAAAAAAAEA&#10;IAAAACYBAABkcnMvZTJvRG9jLnhtbFBLBQYAAAAABgAGAFkBAACkBQAAAAA=&#10;">
              <v:fill on="t" focussize="0,0"/>
              <v:stroke on="f"/>
              <v:imagedata o:title=""/>
              <o:lock v:ext="edit" aspectratio="f"/>
              <v:textbox inset="0mm,0mm,0mm,0mm">
                <w:txbxContent>
                  <w:p w14:paraId="5B79EBE0">
                    <w:pPr>
                      <w:pStyle w:val="56"/>
                    </w:pPr>
                    <w:r>
                      <w:fldChar w:fldCharType="begin"/>
                    </w:r>
                    <w:r>
                      <w:instrText xml:space="preserve">PAGE</w:instrText>
                    </w:r>
                    <w:r>
                      <w:fldChar w:fldCharType="separate"/>
                    </w:r>
                    <w:r>
                      <w:t>14</w:t>
                    </w:r>
                    <w:r>
                      <w:fldChar w:fldCharType="end"/>
                    </w:r>
                  </w:p>
                </w:txbxContent>
              </v:textbox>
            </v:rect>
          </w:pict>
        </mc:Fallback>
      </mc:AlternateContent>
    </w:r>
    <w:r>
      <w:rPr>
        <w:lang w:bidi="ar-SA"/>
      </w:rPr>
      <w:drawing>
        <wp:anchor distT="0" distB="0" distL="114300" distR="114300" simplePos="0" relativeHeight="251659264" behindDoc="0" locked="0" layoutInCell="1" allowOverlap="1">
          <wp:simplePos x="0" y="0"/>
          <wp:positionH relativeFrom="column">
            <wp:posOffset>1270</wp:posOffset>
          </wp:positionH>
          <wp:positionV relativeFrom="paragraph">
            <wp:posOffset>8255</wp:posOffset>
          </wp:positionV>
          <wp:extent cx="6641465" cy="133350"/>
          <wp:effectExtent l="0" t="0" r="6985" b="0"/>
          <wp:wrapNone/>
          <wp:docPr id="11" name="shap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hape_0"/>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41465" cy="133350"/>
                  </a:xfrm>
                  <a:prstGeom prst="rect">
                    <a:avLst/>
                  </a:prstGeom>
                  <a:solidFill>
                    <a:srgbClr val="FFFFFF"/>
                  </a:solidFill>
                </pic:spPr>
              </pic:pic>
            </a:graphicData>
          </a:graphic>
        </wp:anchor>
      </w:drawing>
    </w:r>
    <w:r>
      <w:br w:type="textWrapping"/>
    </w:r>
    <w:r>
      <w:rPr>
        <w:sz w:val="16"/>
        <w:szCs w:val="16"/>
      </w:rPr>
      <w:t>Društvo je upisano kod Trgovačkog suda u Šibeniku, br: 060175066. Temeljni kapital: 713.756,72 €. Uprava-direktor: Drago Mihaljević</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D6B5">
    <w:pPr>
      <w:pStyle w:val="46"/>
      <w:jc w:val="center"/>
      <w:rPr>
        <w:sz w:val="16"/>
        <w:szCs w:val="16"/>
      </w:rPr>
    </w:pPr>
    <w:r>
      <w:rPr>
        <w:lang w:bidi="ar-SA"/>
      </w:rPr>
      <w:drawing>
        <wp:anchor distT="0" distB="0" distL="114300" distR="114300" simplePos="0" relativeHeight="251661312" behindDoc="0" locked="0" layoutInCell="1" allowOverlap="1">
          <wp:simplePos x="0" y="0"/>
          <wp:positionH relativeFrom="column">
            <wp:posOffset>-43815</wp:posOffset>
          </wp:positionH>
          <wp:positionV relativeFrom="paragraph">
            <wp:posOffset>67945</wp:posOffset>
          </wp:positionV>
          <wp:extent cx="6228715" cy="93980"/>
          <wp:effectExtent l="0" t="0" r="635" b="127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28715" cy="93980"/>
                  </a:xfrm>
                  <a:prstGeom prst="rect">
                    <a:avLst/>
                  </a:prstGeom>
                  <a:solidFill>
                    <a:srgbClr val="FFFFFF"/>
                  </a:solidFill>
                </pic:spPr>
              </pic:pic>
            </a:graphicData>
          </a:graphic>
        </wp:anchor>
      </w:drawing>
    </w:r>
    <w:r>
      <w:br w:type="textWrapping"/>
    </w:r>
    <w:r>
      <w:rPr>
        <w:sz w:val="16"/>
        <w:szCs w:val="16"/>
      </w:rPr>
      <w:t>Društvo je upisano kod Trgovačkog suda u Šibeniku, br: 060175066. Temeljni kapital: 713.756,72 €.  Uprava-direktor: Drago Mihaljević</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1C007">
    <w:pPr>
      <w:pStyle w:val="47"/>
    </w:pPr>
    <w:r>
      <w:rPr>
        <w:lang w:bidi="ar-SA"/>
      </w:rPr>
      <w:drawing>
        <wp:anchor distT="0" distB="0" distL="114300" distR="114300" simplePos="0" relativeHeight="251662336" behindDoc="1" locked="0" layoutInCell="1" allowOverlap="1">
          <wp:simplePos x="0" y="0"/>
          <wp:positionH relativeFrom="column">
            <wp:posOffset>-226060</wp:posOffset>
          </wp:positionH>
          <wp:positionV relativeFrom="paragraph">
            <wp:posOffset>116840</wp:posOffset>
          </wp:positionV>
          <wp:extent cx="6612890" cy="1061720"/>
          <wp:effectExtent l="0" t="0" r="0" b="5080"/>
          <wp:wrapTight wrapText="bothSides">
            <wp:wrapPolygon>
              <wp:start x="0" y="0"/>
              <wp:lineTo x="0" y="21316"/>
              <wp:lineTo x="21529" y="21316"/>
              <wp:lineTo x="21529" y="0"/>
              <wp:lineTo x="0" y="0"/>
            </wp:wrapPolygon>
          </wp:wrapTight>
          <wp:docPr id="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12890" cy="106172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75C78"/>
    <w:multiLevelType w:val="multilevel"/>
    <w:tmpl w:val="0AF75C78"/>
    <w:lvl w:ilvl="0" w:tentative="0">
      <w:start w:val="1"/>
      <w:numFmt w:val="lowerLetter"/>
      <w:lvlText w:val="(%1)"/>
      <w:lvlJc w:val="left"/>
      <w:pPr>
        <w:ind w:left="1211" w:hanging="360"/>
      </w:pPr>
      <w:rPr>
        <w:rFonts w:hint="default"/>
      </w:rPr>
    </w:lvl>
    <w:lvl w:ilvl="1" w:tentative="0">
      <w:start w:val="1"/>
      <w:numFmt w:val="lowerLetter"/>
      <w:lvlText w:val="%2."/>
      <w:lvlJc w:val="left"/>
      <w:pPr>
        <w:ind w:left="2490" w:hanging="360"/>
      </w:pPr>
    </w:lvl>
    <w:lvl w:ilvl="2" w:tentative="0">
      <w:start w:val="1"/>
      <w:numFmt w:val="lowerRoman"/>
      <w:lvlText w:val="%3."/>
      <w:lvlJc w:val="right"/>
      <w:pPr>
        <w:ind w:left="3210" w:hanging="180"/>
      </w:pPr>
    </w:lvl>
    <w:lvl w:ilvl="3" w:tentative="0">
      <w:start w:val="1"/>
      <w:numFmt w:val="decimal"/>
      <w:lvlText w:val="%4."/>
      <w:lvlJc w:val="left"/>
      <w:pPr>
        <w:ind w:left="3930" w:hanging="360"/>
      </w:pPr>
    </w:lvl>
    <w:lvl w:ilvl="4" w:tentative="0">
      <w:start w:val="1"/>
      <w:numFmt w:val="lowerLetter"/>
      <w:lvlText w:val="%5."/>
      <w:lvlJc w:val="left"/>
      <w:pPr>
        <w:ind w:left="4650" w:hanging="360"/>
      </w:pPr>
    </w:lvl>
    <w:lvl w:ilvl="5" w:tentative="0">
      <w:start w:val="1"/>
      <w:numFmt w:val="lowerRoman"/>
      <w:lvlText w:val="%6."/>
      <w:lvlJc w:val="right"/>
      <w:pPr>
        <w:ind w:left="5370" w:hanging="180"/>
      </w:pPr>
    </w:lvl>
    <w:lvl w:ilvl="6" w:tentative="0">
      <w:start w:val="1"/>
      <w:numFmt w:val="decimal"/>
      <w:lvlText w:val="%7."/>
      <w:lvlJc w:val="left"/>
      <w:pPr>
        <w:ind w:left="6090" w:hanging="360"/>
      </w:pPr>
    </w:lvl>
    <w:lvl w:ilvl="7" w:tentative="0">
      <w:start w:val="1"/>
      <w:numFmt w:val="lowerLetter"/>
      <w:lvlText w:val="%8."/>
      <w:lvlJc w:val="left"/>
      <w:pPr>
        <w:ind w:left="6810" w:hanging="360"/>
      </w:pPr>
    </w:lvl>
    <w:lvl w:ilvl="8" w:tentative="0">
      <w:start w:val="1"/>
      <w:numFmt w:val="lowerRoman"/>
      <w:lvlText w:val="%9."/>
      <w:lvlJc w:val="right"/>
      <w:pPr>
        <w:ind w:left="7530" w:hanging="180"/>
      </w:pPr>
    </w:lvl>
  </w:abstractNum>
  <w:abstractNum w:abstractNumId="1">
    <w:nsid w:val="4DB27061"/>
    <w:multiLevelType w:val="multilevel"/>
    <w:tmpl w:val="4DB27061"/>
    <w:lvl w:ilvl="0" w:tentative="0">
      <w:start w:val="0"/>
      <w:numFmt w:val="bullet"/>
      <w:lvlText w:val="-"/>
      <w:lvlJc w:val="left"/>
      <w:pPr>
        <w:ind w:left="720" w:hanging="360"/>
      </w:pPr>
      <w:rPr>
        <w:rFonts w:hint="default" w:ascii="Times New Roman" w:hAnsi="Times New Roman" w:eastAsia="Times New Roman" w:cs="Times New Roman"/>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A04045"/>
    <w:multiLevelType w:val="multilevel"/>
    <w:tmpl w:val="58A04045"/>
    <w:lvl w:ilvl="0" w:tentative="0">
      <w:start w:val="1"/>
      <w:numFmt w:val="decimal"/>
      <w:lvlText w:val="%1."/>
      <w:lvlJc w:val="left"/>
      <w:pPr>
        <w:ind w:left="1410" w:hanging="360"/>
      </w:pPr>
      <w:rPr>
        <w:rFonts w:hint="default"/>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3">
    <w:nsid w:val="69EB3A19"/>
    <w:multiLevelType w:val="multilevel"/>
    <w:tmpl w:val="69EB3A19"/>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420"/>
        </w:tabs>
        <w:ind w:left="420" w:hanging="420"/>
      </w:pPr>
      <w:rPr>
        <w:rFonts w:hint="default"/>
      </w:rPr>
    </w:lvl>
    <w:lvl w:ilvl="2" w:tentative="0">
      <w:start w:val="1"/>
      <w:numFmt w:val="upperRoman"/>
      <w:lvlText w:val="%1.%2.%3."/>
      <w:lvlJc w:val="left"/>
      <w:pPr>
        <w:tabs>
          <w:tab w:val="left" w:pos="1080"/>
        </w:tabs>
        <w:ind w:left="1080" w:hanging="108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7E683FB1"/>
    <w:multiLevelType w:val="multilevel"/>
    <w:tmpl w:val="7E683FB1"/>
    <w:lvl w:ilvl="0" w:tentative="0">
      <w:start w:val="1"/>
      <w:numFmt w:val="decimal"/>
      <w:lvlText w:val="%1."/>
      <w:lvlJc w:val="left"/>
      <w:pPr>
        <w:ind w:left="1410" w:hanging="360"/>
      </w:pPr>
      <w:rPr>
        <w:rFonts w:hint="default"/>
        <w:b w:val="0"/>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18B"/>
    <w:rsid w:val="00016B34"/>
    <w:rsid w:val="00016C47"/>
    <w:rsid w:val="000268DD"/>
    <w:rsid w:val="00030C56"/>
    <w:rsid w:val="00034E1B"/>
    <w:rsid w:val="00036785"/>
    <w:rsid w:val="00066363"/>
    <w:rsid w:val="00070817"/>
    <w:rsid w:val="00070FE1"/>
    <w:rsid w:val="000754F2"/>
    <w:rsid w:val="0008055C"/>
    <w:rsid w:val="0008179E"/>
    <w:rsid w:val="00096885"/>
    <w:rsid w:val="000C026E"/>
    <w:rsid w:val="000E3586"/>
    <w:rsid w:val="000E575D"/>
    <w:rsid w:val="0010154D"/>
    <w:rsid w:val="0012337C"/>
    <w:rsid w:val="001272C4"/>
    <w:rsid w:val="001321F5"/>
    <w:rsid w:val="00143F2A"/>
    <w:rsid w:val="00152FFB"/>
    <w:rsid w:val="00155D5C"/>
    <w:rsid w:val="001657F0"/>
    <w:rsid w:val="00172E1B"/>
    <w:rsid w:val="00174F37"/>
    <w:rsid w:val="00175ABC"/>
    <w:rsid w:val="001831EE"/>
    <w:rsid w:val="0019279B"/>
    <w:rsid w:val="00193406"/>
    <w:rsid w:val="00194022"/>
    <w:rsid w:val="00197E06"/>
    <w:rsid w:val="001A09F2"/>
    <w:rsid w:val="001A13D6"/>
    <w:rsid w:val="001B1B6C"/>
    <w:rsid w:val="001B4DEB"/>
    <w:rsid w:val="001B6CEB"/>
    <w:rsid w:val="001C4849"/>
    <w:rsid w:val="001D0381"/>
    <w:rsid w:val="001D4AA6"/>
    <w:rsid w:val="001D575D"/>
    <w:rsid w:val="001F3CC2"/>
    <w:rsid w:val="001F3E82"/>
    <w:rsid w:val="001F6D18"/>
    <w:rsid w:val="00205998"/>
    <w:rsid w:val="002117D2"/>
    <w:rsid w:val="002170B0"/>
    <w:rsid w:val="002326DE"/>
    <w:rsid w:val="00267F41"/>
    <w:rsid w:val="002719E3"/>
    <w:rsid w:val="00280579"/>
    <w:rsid w:val="0028394E"/>
    <w:rsid w:val="00283F7C"/>
    <w:rsid w:val="00294DDB"/>
    <w:rsid w:val="002B50FA"/>
    <w:rsid w:val="002C1719"/>
    <w:rsid w:val="002C2619"/>
    <w:rsid w:val="002D021E"/>
    <w:rsid w:val="002D08D7"/>
    <w:rsid w:val="002F4591"/>
    <w:rsid w:val="002F7CE8"/>
    <w:rsid w:val="00300B1F"/>
    <w:rsid w:val="0031245D"/>
    <w:rsid w:val="003128E8"/>
    <w:rsid w:val="00316606"/>
    <w:rsid w:val="0032765E"/>
    <w:rsid w:val="003467B6"/>
    <w:rsid w:val="00355B77"/>
    <w:rsid w:val="00364D21"/>
    <w:rsid w:val="00373662"/>
    <w:rsid w:val="00373F48"/>
    <w:rsid w:val="00376A95"/>
    <w:rsid w:val="00377683"/>
    <w:rsid w:val="00390FA7"/>
    <w:rsid w:val="003934BE"/>
    <w:rsid w:val="00395769"/>
    <w:rsid w:val="00397C8B"/>
    <w:rsid w:val="003C3A3F"/>
    <w:rsid w:val="003D6879"/>
    <w:rsid w:val="003E457F"/>
    <w:rsid w:val="003F680E"/>
    <w:rsid w:val="00417AD1"/>
    <w:rsid w:val="00422DD2"/>
    <w:rsid w:val="0042755A"/>
    <w:rsid w:val="00430947"/>
    <w:rsid w:val="00432D49"/>
    <w:rsid w:val="004349E3"/>
    <w:rsid w:val="00437DBA"/>
    <w:rsid w:val="00445977"/>
    <w:rsid w:val="00483DBC"/>
    <w:rsid w:val="0048697B"/>
    <w:rsid w:val="00494EB2"/>
    <w:rsid w:val="004A0845"/>
    <w:rsid w:val="004A6115"/>
    <w:rsid w:val="004B7AEF"/>
    <w:rsid w:val="004C10EE"/>
    <w:rsid w:val="004D5326"/>
    <w:rsid w:val="004E64F4"/>
    <w:rsid w:val="004F06A1"/>
    <w:rsid w:val="005061A3"/>
    <w:rsid w:val="00507349"/>
    <w:rsid w:val="00522A46"/>
    <w:rsid w:val="00523D59"/>
    <w:rsid w:val="0053622A"/>
    <w:rsid w:val="005367EF"/>
    <w:rsid w:val="0055129D"/>
    <w:rsid w:val="00554FB6"/>
    <w:rsid w:val="005A402D"/>
    <w:rsid w:val="005B218D"/>
    <w:rsid w:val="005C31E1"/>
    <w:rsid w:val="005C580A"/>
    <w:rsid w:val="00600861"/>
    <w:rsid w:val="00604958"/>
    <w:rsid w:val="00605161"/>
    <w:rsid w:val="00617B5B"/>
    <w:rsid w:val="00624FC4"/>
    <w:rsid w:val="00625E0D"/>
    <w:rsid w:val="00631566"/>
    <w:rsid w:val="00662D45"/>
    <w:rsid w:val="006641E1"/>
    <w:rsid w:val="006641F8"/>
    <w:rsid w:val="006719F8"/>
    <w:rsid w:val="00676E8E"/>
    <w:rsid w:val="006844F1"/>
    <w:rsid w:val="00690716"/>
    <w:rsid w:val="006A030E"/>
    <w:rsid w:val="006A3BB0"/>
    <w:rsid w:val="006C5F24"/>
    <w:rsid w:val="006E5EFA"/>
    <w:rsid w:val="006E6A45"/>
    <w:rsid w:val="007028AD"/>
    <w:rsid w:val="00710FB3"/>
    <w:rsid w:val="007177F2"/>
    <w:rsid w:val="00732852"/>
    <w:rsid w:val="0076401C"/>
    <w:rsid w:val="007743B7"/>
    <w:rsid w:val="007A3EA7"/>
    <w:rsid w:val="007B3425"/>
    <w:rsid w:val="007B5B65"/>
    <w:rsid w:val="007B7B34"/>
    <w:rsid w:val="007C4AFA"/>
    <w:rsid w:val="007F5541"/>
    <w:rsid w:val="008020E7"/>
    <w:rsid w:val="00804C64"/>
    <w:rsid w:val="00814848"/>
    <w:rsid w:val="00826168"/>
    <w:rsid w:val="00843E1F"/>
    <w:rsid w:val="00852301"/>
    <w:rsid w:val="00863593"/>
    <w:rsid w:val="0086553A"/>
    <w:rsid w:val="00865A50"/>
    <w:rsid w:val="00871B73"/>
    <w:rsid w:val="00872DED"/>
    <w:rsid w:val="00881631"/>
    <w:rsid w:val="00885930"/>
    <w:rsid w:val="00892CAD"/>
    <w:rsid w:val="008B33AE"/>
    <w:rsid w:val="008C005D"/>
    <w:rsid w:val="008C6B22"/>
    <w:rsid w:val="008D5BF7"/>
    <w:rsid w:val="008E4299"/>
    <w:rsid w:val="008F0589"/>
    <w:rsid w:val="008F0C70"/>
    <w:rsid w:val="00913079"/>
    <w:rsid w:val="0093490C"/>
    <w:rsid w:val="00941A66"/>
    <w:rsid w:val="00943FCF"/>
    <w:rsid w:val="009444F3"/>
    <w:rsid w:val="009458E6"/>
    <w:rsid w:val="0095287E"/>
    <w:rsid w:val="00953B2F"/>
    <w:rsid w:val="00966991"/>
    <w:rsid w:val="009676A6"/>
    <w:rsid w:val="0097418B"/>
    <w:rsid w:val="00995F32"/>
    <w:rsid w:val="009A6FB2"/>
    <w:rsid w:val="009C2E3A"/>
    <w:rsid w:val="009D5479"/>
    <w:rsid w:val="009E2F97"/>
    <w:rsid w:val="009F5180"/>
    <w:rsid w:val="00A01EC7"/>
    <w:rsid w:val="00A034B8"/>
    <w:rsid w:val="00A14D9B"/>
    <w:rsid w:val="00A27E31"/>
    <w:rsid w:val="00A343C4"/>
    <w:rsid w:val="00A3458F"/>
    <w:rsid w:val="00A41BE7"/>
    <w:rsid w:val="00A41D0D"/>
    <w:rsid w:val="00A42563"/>
    <w:rsid w:val="00A46B1B"/>
    <w:rsid w:val="00A53742"/>
    <w:rsid w:val="00A73C74"/>
    <w:rsid w:val="00A83A53"/>
    <w:rsid w:val="00A95181"/>
    <w:rsid w:val="00AB0ED0"/>
    <w:rsid w:val="00AB4501"/>
    <w:rsid w:val="00AB72E3"/>
    <w:rsid w:val="00AB73EB"/>
    <w:rsid w:val="00AC231C"/>
    <w:rsid w:val="00AC29D8"/>
    <w:rsid w:val="00AF60D1"/>
    <w:rsid w:val="00B01DEA"/>
    <w:rsid w:val="00B03191"/>
    <w:rsid w:val="00B04AE9"/>
    <w:rsid w:val="00B367F9"/>
    <w:rsid w:val="00B52245"/>
    <w:rsid w:val="00B73C4D"/>
    <w:rsid w:val="00B8716A"/>
    <w:rsid w:val="00B91112"/>
    <w:rsid w:val="00B9263F"/>
    <w:rsid w:val="00B96CAE"/>
    <w:rsid w:val="00B97E87"/>
    <w:rsid w:val="00BA71FC"/>
    <w:rsid w:val="00BB315D"/>
    <w:rsid w:val="00BB4FF0"/>
    <w:rsid w:val="00BB53A7"/>
    <w:rsid w:val="00BB5F88"/>
    <w:rsid w:val="00BC24AE"/>
    <w:rsid w:val="00BC24B8"/>
    <w:rsid w:val="00BD374F"/>
    <w:rsid w:val="00BE5AD8"/>
    <w:rsid w:val="00C04B28"/>
    <w:rsid w:val="00C137D8"/>
    <w:rsid w:val="00C1427E"/>
    <w:rsid w:val="00C24A0F"/>
    <w:rsid w:val="00C4120D"/>
    <w:rsid w:val="00C45CB9"/>
    <w:rsid w:val="00C57DFF"/>
    <w:rsid w:val="00C666A5"/>
    <w:rsid w:val="00C7169A"/>
    <w:rsid w:val="00C73D1A"/>
    <w:rsid w:val="00C9180D"/>
    <w:rsid w:val="00CA5433"/>
    <w:rsid w:val="00CA57F3"/>
    <w:rsid w:val="00CB1DD7"/>
    <w:rsid w:val="00CB22D9"/>
    <w:rsid w:val="00CB426F"/>
    <w:rsid w:val="00CB674F"/>
    <w:rsid w:val="00CB6B13"/>
    <w:rsid w:val="00CC539F"/>
    <w:rsid w:val="00CF0D2D"/>
    <w:rsid w:val="00CF6672"/>
    <w:rsid w:val="00D0031E"/>
    <w:rsid w:val="00D047CB"/>
    <w:rsid w:val="00D1387A"/>
    <w:rsid w:val="00D33BFC"/>
    <w:rsid w:val="00D526B3"/>
    <w:rsid w:val="00D661CD"/>
    <w:rsid w:val="00D74226"/>
    <w:rsid w:val="00D83B63"/>
    <w:rsid w:val="00D94F7F"/>
    <w:rsid w:val="00DA12B7"/>
    <w:rsid w:val="00DA2CB7"/>
    <w:rsid w:val="00DA3EBE"/>
    <w:rsid w:val="00DB0D47"/>
    <w:rsid w:val="00DC2A73"/>
    <w:rsid w:val="00DC3B75"/>
    <w:rsid w:val="00DC593E"/>
    <w:rsid w:val="00DD1621"/>
    <w:rsid w:val="00DD2EB9"/>
    <w:rsid w:val="00DD5BD2"/>
    <w:rsid w:val="00DD5D66"/>
    <w:rsid w:val="00DD769C"/>
    <w:rsid w:val="00DE455B"/>
    <w:rsid w:val="00DE56E6"/>
    <w:rsid w:val="00E10FF4"/>
    <w:rsid w:val="00E164FE"/>
    <w:rsid w:val="00E21597"/>
    <w:rsid w:val="00E43101"/>
    <w:rsid w:val="00E4540C"/>
    <w:rsid w:val="00E47E26"/>
    <w:rsid w:val="00E50AB5"/>
    <w:rsid w:val="00E56A62"/>
    <w:rsid w:val="00E64F78"/>
    <w:rsid w:val="00E65B36"/>
    <w:rsid w:val="00E66572"/>
    <w:rsid w:val="00E7502E"/>
    <w:rsid w:val="00EA297D"/>
    <w:rsid w:val="00EB74DA"/>
    <w:rsid w:val="00EC17E2"/>
    <w:rsid w:val="00EC1ED7"/>
    <w:rsid w:val="00ED1BCB"/>
    <w:rsid w:val="00EE1B80"/>
    <w:rsid w:val="00EE4E0E"/>
    <w:rsid w:val="00EE7AD1"/>
    <w:rsid w:val="00EF0F64"/>
    <w:rsid w:val="00EF4793"/>
    <w:rsid w:val="00EF4945"/>
    <w:rsid w:val="00F01000"/>
    <w:rsid w:val="00F24D81"/>
    <w:rsid w:val="00F41998"/>
    <w:rsid w:val="00F60A55"/>
    <w:rsid w:val="00F7613D"/>
    <w:rsid w:val="00F86AE9"/>
    <w:rsid w:val="00FA3014"/>
    <w:rsid w:val="00FA3342"/>
    <w:rsid w:val="00FB2375"/>
    <w:rsid w:val="00FB7B33"/>
    <w:rsid w:val="00FC3E1D"/>
    <w:rsid w:val="00FD772D"/>
    <w:rsid w:val="02923B6A"/>
    <w:rsid w:val="02F44E10"/>
    <w:rsid w:val="04D9361A"/>
    <w:rsid w:val="0647557E"/>
    <w:rsid w:val="08164A4E"/>
    <w:rsid w:val="09A53D5D"/>
    <w:rsid w:val="0C39703D"/>
    <w:rsid w:val="12915003"/>
    <w:rsid w:val="1B0C3B87"/>
    <w:rsid w:val="1F1E4A94"/>
    <w:rsid w:val="1FB91219"/>
    <w:rsid w:val="1FCD2D08"/>
    <w:rsid w:val="20B42276"/>
    <w:rsid w:val="227C7ED1"/>
    <w:rsid w:val="24394B37"/>
    <w:rsid w:val="26557F9C"/>
    <w:rsid w:val="2DFB29E7"/>
    <w:rsid w:val="304A7150"/>
    <w:rsid w:val="33FF41E8"/>
    <w:rsid w:val="3A1067A0"/>
    <w:rsid w:val="3F1500A9"/>
    <w:rsid w:val="404B0F5E"/>
    <w:rsid w:val="493D1E9D"/>
    <w:rsid w:val="4A896BFF"/>
    <w:rsid w:val="4B6B13BF"/>
    <w:rsid w:val="53607325"/>
    <w:rsid w:val="55A85759"/>
    <w:rsid w:val="5713220E"/>
    <w:rsid w:val="614A3AE1"/>
    <w:rsid w:val="62882F5E"/>
    <w:rsid w:val="6325042E"/>
    <w:rsid w:val="63C974DD"/>
    <w:rsid w:val="66A3366C"/>
    <w:rsid w:val="678B46A5"/>
    <w:rsid w:val="6AA37E18"/>
    <w:rsid w:val="6B560C02"/>
    <w:rsid w:val="6C716179"/>
    <w:rsid w:val="710329C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iPriority="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qFormat="1"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200" w:line="276" w:lineRule="auto"/>
      <w:jc w:val="both"/>
    </w:pPr>
    <w:rPr>
      <w:rFonts w:ascii="Times New Roman" w:hAnsi="Times New Roman" w:eastAsia="Times New Roman" w:cs="Cambria"/>
      <w:color w:val="00000A"/>
      <w:sz w:val="24"/>
      <w:szCs w:val="22"/>
      <w:lang w:val="en-US" w:eastAsia="en-US" w:bidi="en-US"/>
    </w:rPr>
  </w:style>
  <w:style w:type="paragraph" w:styleId="2">
    <w:name w:val="heading 1"/>
    <w:basedOn w:val="1"/>
    <w:next w:val="1"/>
    <w:qFormat/>
    <w:uiPriority w:val="9"/>
    <w:pPr>
      <w:keepNext/>
      <w:outlineLvl w:val="0"/>
    </w:pPr>
    <w:rPr>
      <w:b/>
      <w:bCs/>
    </w:rPr>
  </w:style>
  <w:style w:type="paragraph" w:styleId="3">
    <w:name w:val="heading 5"/>
    <w:basedOn w:val="1"/>
    <w:next w:val="1"/>
    <w:link w:val="108"/>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4">
    <w:name w:val="heading 8"/>
    <w:basedOn w:val="1"/>
    <w:next w:val="1"/>
    <w:link w:val="109"/>
    <w:qFormat/>
    <w:uiPriority w:val="9"/>
    <w:pPr>
      <w:keepNext/>
      <w:keepLines/>
      <w:spacing w:before="200" w:after="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5">
    <w:name w:val="heading 9"/>
    <w:basedOn w:val="1"/>
    <w:next w:val="1"/>
    <w:link w:val="107"/>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semiHidden/>
    <w:unhideWhenUsed/>
    <w:qFormat/>
    <w:uiPriority w:val="99"/>
    <w:pPr>
      <w:spacing w:after="0" w:line="240" w:lineRule="auto"/>
    </w:pPr>
    <w:rPr>
      <w:rFonts w:ascii="Tahoma" w:hAnsi="Tahoma" w:cs="Tahoma"/>
      <w:sz w:val="16"/>
      <w:szCs w:val="16"/>
    </w:rPr>
  </w:style>
  <w:style w:type="paragraph" w:styleId="9">
    <w:name w:val="Body Text"/>
    <w:basedOn w:val="1"/>
    <w:link w:val="103"/>
    <w:qFormat/>
    <w:uiPriority w:val="0"/>
    <w:pPr>
      <w:spacing w:after="140" w:line="288" w:lineRule="auto"/>
    </w:pPr>
  </w:style>
  <w:style w:type="paragraph" w:styleId="10">
    <w:name w:val="Body Text 3"/>
    <w:basedOn w:val="1"/>
    <w:semiHidden/>
    <w:unhideWhenUsed/>
    <w:qFormat/>
    <w:uiPriority w:val="0"/>
    <w:pPr>
      <w:spacing w:after="120"/>
    </w:pPr>
    <w:rPr>
      <w:sz w:val="16"/>
      <w:szCs w:val="16"/>
    </w:rPr>
  </w:style>
  <w:style w:type="paragraph" w:styleId="11">
    <w:name w:val="Body Text Indent"/>
    <w:basedOn w:val="1"/>
    <w:link w:val="104"/>
    <w:qFormat/>
    <w:uiPriority w:val="0"/>
    <w:pPr>
      <w:suppressAutoHyphens w:val="0"/>
      <w:spacing w:after="120" w:line="240" w:lineRule="auto"/>
      <w:ind w:left="283"/>
    </w:pPr>
    <w:rPr>
      <w:rFonts w:cs="Times New Roman"/>
      <w:color w:val="auto"/>
      <w:szCs w:val="24"/>
      <w:lang w:val="en-GB" w:bidi="ar-SA"/>
    </w:rPr>
  </w:style>
  <w:style w:type="paragraph" w:styleId="12">
    <w:name w:val="caption"/>
    <w:basedOn w:val="1"/>
    <w:qFormat/>
    <w:uiPriority w:val="35"/>
    <w:rPr>
      <w:b/>
      <w:bCs/>
      <w:sz w:val="20"/>
      <w:szCs w:val="20"/>
    </w:rPr>
  </w:style>
  <w:style w:type="character" w:styleId="13">
    <w:name w:val="annotation reference"/>
    <w:basedOn w:val="6"/>
    <w:semiHidden/>
    <w:unhideWhenUsed/>
    <w:qFormat/>
    <w:uiPriority w:val="0"/>
    <w:rPr>
      <w:sz w:val="16"/>
      <w:szCs w:val="16"/>
    </w:rPr>
  </w:style>
  <w:style w:type="paragraph" w:styleId="14">
    <w:name w:val="annotation text"/>
    <w:basedOn w:val="1"/>
    <w:link w:val="112"/>
    <w:semiHidden/>
    <w:unhideWhenUsed/>
    <w:qFormat/>
    <w:uiPriority w:val="0"/>
    <w:pPr>
      <w:spacing w:line="240" w:lineRule="auto"/>
    </w:pPr>
    <w:rPr>
      <w:sz w:val="20"/>
      <w:szCs w:val="20"/>
    </w:rPr>
  </w:style>
  <w:style w:type="paragraph" w:styleId="15">
    <w:name w:val="annotation subject"/>
    <w:basedOn w:val="14"/>
    <w:next w:val="14"/>
    <w:link w:val="113"/>
    <w:semiHidden/>
    <w:unhideWhenUsed/>
    <w:qFormat/>
    <w:uiPriority w:val="0"/>
    <w:rPr>
      <w:b/>
      <w:bCs/>
    </w:rPr>
  </w:style>
  <w:style w:type="character" w:styleId="16">
    <w:name w:val="Emphasis"/>
    <w:qFormat/>
    <w:uiPriority w:val="20"/>
    <w:rPr>
      <w:b/>
      <w:bCs/>
      <w:i/>
      <w:iCs/>
      <w:spacing w:val="10"/>
    </w:rPr>
  </w:style>
  <w:style w:type="paragraph" w:styleId="17">
    <w:name w:val="envelope return"/>
    <w:basedOn w:val="1"/>
    <w:semiHidden/>
    <w:unhideWhenUsed/>
    <w:qFormat/>
    <w:uiPriority w:val="0"/>
    <w:rPr>
      <w:rFonts w:ascii="Verdana" w:hAnsi="Verdana" w:cs="Arial"/>
      <w:b/>
      <w:sz w:val="20"/>
      <w:szCs w:val="20"/>
    </w:rPr>
  </w:style>
  <w:style w:type="paragraph" w:styleId="18">
    <w:name w:val="footer"/>
    <w:basedOn w:val="1"/>
    <w:link w:val="98"/>
    <w:unhideWhenUsed/>
    <w:qFormat/>
    <w:uiPriority w:val="99"/>
    <w:pPr>
      <w:tabs>
        <w:tab w:val="center" w:pos="4536"/>
        <w:tab w:val="right" w:pos="9072"/>
      </w:tabs>
    </w:pPr>
  </w:style>
  <w:style w:type="paragraph" w:styleId="19">
    <w:name w:val="footnote text"/>
    <w:basedOn w:val="1"/>
    <w:link w:val="101"/>
    <w:qFormat/>
    <w:uiPriority w:val="0"/>
    <w:pPr>
      <w:suppressAutoHyphens w:val="0"/>
      <w:spacing w:after="0" w:line="240" w:lineRule="auto"/>
    </w:pPr>
    <w:rPr>
      <w:rFonts w:cs="Times New Roman"/>
      <w:color w:val="auto"/>
      <w:sz w:val="20"/>
      <w:szCs w:val="20"/>
      <w:lang w:val="hr-HR" w:eastAsia="hr-HR" w:bidi="ar-SA"/>
    </w:rPr>
  </w:style>
  <w:style w:type="paragraph" w:styleId="20">
    <w:name w:val="header"/>
    <w:basedOn w:val="1"/>
    <w:link w:val="97"/>
    <w:unhideWhenUsed/>
    <w:qFormat/>
    <w:uiPriority w:val="99"/>
    <w:pPr>
      <w:tabs>
        <w:tab w:val="center" w:pos="4536"/>
        <w:tab w:val="right" w:pos="9072"/>
      </w:tabs>
    </w:pPr>
  </w:style>
  <w:style w:type="character" w:styleId="21">
    <w:name w:val="Hyperlink"/>
    <w:qFormat/>
    <w:uiPriority w:val="0"/>
    <w:rPr>
      <w:color w:val="0000FF"/>
      <w:u w:val="single"/>
    </w:rPr>
  </w:style>
  <w:style w:type="paragraph" w:styleId="22">
    <w:name w:val="List"/>
    <w:basedOn w:val="9"/>
    <w:qFormat/>
    <w:uiPriority w:val="0"/>
    <w:pPr>
      <w:widowControl w:val="0"/>
    </w:pPr>
    <w:rPr>
      <w:rFonts w:cs="Mangal"/>
      <w:sz w:val="20"/>
      <w:szCs w:val="20"/>
      <w:lang w:bidi="ar-SA"/>
    </w:rPr>
  </w:style>
  <w:style w:type="paragraph" w:styleId="23">
    <w:name w:val="Normal (Web)"/>
    <w:semiHidden/>
    <w:unhideWhenUsed/>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24">
    <w:name w:val="page number"/>
    <w:basedOn w:val="6"/>
    <w:qFormat/>
    <w:uiPriority w:val="0"/>
  </w:style>
  <w:style w:type="character" w:styleId="25">
    <w:name w:val="Strong"/>
    <w:qFormat/>
    <w:uiPriority w:val="22"/>
    <w:rPr>
      <w:b/>
      <w:bCs/>
    </w:rPr>
  </w:style>
  <w:style w:type="paragraph" w:styleId="26">
    <w:name w:val="Subtitle"/>
    <w:basedOn w:val="1"/>
    <w:qFormat/>
    <w:uiPriority w:val="11"/>
    <w:rPr>
      <w:i/>
      <w:iCs/>
      <w:smallCaps/>
      <w:spacing w:val="10"/>
      <w:sz w:val="28"/>
      <w:szCs w:val="28"/>
    </w:rPr>
  </w:style>
  <w:style w:type="table" w:styleId="27">
    <w:name w:val="Table Grid"/>
    <w:basedOn w:val="7"/>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itle"/>
    <w:basedOn w:val="1"/>
    <w:qFormat/>
    <w:uiPriority w:val="10"/>
    <w:pPr>
      <w:spacing w:after="300" w:line="240" w:lineRule="auto"/>
      <w:contextualSpacing/>
    </w:pPr>
    <w:rPr>
      <w:smallCaps/>
      <w:sz w:val="52"/>
      <w:szCs w:val="52"/>
    </w:rPr>
  </w:style>
  <w:style w:type="paragraph" w:customStyle="1" w:styleId="29">
    <w:name w:val="Stil naslova 1"/>
    <w:basedOn w:val="30"/>
    <w:qFormat/>
    <w:uiPriority w:val="0"/>
  </w:style>
  <w:style w:type="paragraph" w:customStyle="1" w:styleId="30">
    <w:name w:val="Stil naslova"/>
    <w:basedOn w:val="1"/>
    <w:next w:val="9"/>
    <w:qFormat/>
    <w:uiPriority w:val="0"/>
    <w:pPr>
      <w:keepNext/>
      <w:spacing w:before="240" w:after="120"/>
    </w:pPr>
    <w:rPr>
      <w:rFonts w:ascii="Liberation Sans" w:hAnsi="Liberation Sans" w:eastAsia="Microsoft YaHei" w:cs="Mangal"/>
      <w:sz w:val="28"/>
      <w:szCs w:val="28"/>
    </w:rPr>
  </w:style>
  <w:style w:type="paragraph" w:customStyle="1" w:styleId="31">
    <w:name w:val="Stil naslova 2"/>
    <w:basedOn w:val="30"/>
    <w:qFormat/>
    <w:uiPriority w:val="0"/>
  </w:style>
  <w:style w:type="paragraph" w:customStyle="1" w:styleId="32">
    <w:name w:val="Stil naslova 3"/>
    <w:basedOn w:val="30"/>
    <w:qFormat/>
    <w:uiPriority w:val="0"/>
  </w:style>
  <w:style w:type="paragraph" w:customStyle="1" w:styleId="33">
    <w:name w:val="Opis elementa"/>
    <w:basedOn w:val="1"/>
    <w:qFormat/>
    <w:uiPriority w:val="0"/>
    <w:pPr>
      <w:suppressLineNumbers/>
      <w:spacing w:before="120" w:after="120"/>
    </w:pPr>
    <w:rPr>
      <w:rFonts w:cs="Mangal"/>
      <w:i/>
      <w:iCs/>
      <w:szCs w:val="24"/>
    </w:rPr>
  </w:style>
  <w:style w:type="paragraph" w:customStyle="1" w:styleId="34">
    <w:name w:val="Indeks"/>
    <w:basedOn w:val="1"/>
    <w:qFormat/>
    <w:uiPriority w:val="0"/>
    <w:pPr>
      <w:suppressLineNumbers/>
    </w:pPr>
    <w:rPr>
      <w:rFonts w:cs="Mangal"/>
    </w:rPr>
  </w:style>
  <w:style w:type="paragraph" w:customStyle="1" w:styleId="35">
    <w:name w:val="Text Body"/>
    <w:basedOn w:val="1"/>
    <w:qFormat/>
    <w:uiPriority w:val="0"/>
    <w:pPr>
      <w:spacing w:after="140" w:line="288" w:lineRule="auto"/>
    </w:pPr>
  </w:style>
  <w:style w:type="paragraph" w:customStyle="1" w:styleId="36">
    <w:name w:val="Heading 11"/>
    <w:basedOn w:val="1"/>
    <w:qFormat/>
    <w:uiPriority w:val="9"/>
    <w:pPr>
      <w:spacing w:before="480" w:after="0"/>
      <w:contextualSpacing/>
      <w:outlineLvl w:val="0"/>
    </w:pPr>
    <w:rPr>
      <w:smallCaps/>
      <w:spacing w:val="5"/>
      <w:sz w:val="36"/>
      <w:szCs w:val="36"/>
    </w:rPr>
  </w:style>
  <w:style w:type="paragraph" w:customStyle="1" w:styleId="37">
    <w:name w:val="Heading 21"/>
    <w:basedOn w:val="1"/>
    <w:qFormat/>
    <w:uiPriority w:val="9"/>
    <w:pPr>
      <w:spacing w:before="200" w:after="0" w:line="271" w:lineRule="auto"/>
      <w:outlineLvl w:val="1"/>
    </w:pPr>
    <w:rPr>
      <w:smallCaps/>
      <w:sz w:val="28"/>
      <w:szCs w:val="28"/>
    </w:rPr>
  </w:style>
  <w:style w:type="paragraph" w:customStyle="1" w:styleId="38">
    <w:name w:val="Heading 31"/>
    <w:basedOn w:val="1"/>
    <w:qFormat/>
    <w:uiPriority w:val="9"/>
    <w:pPr>
      <w:spacing w:before="200" w:after="0" w:line="271" w:lineRule="auto"/>
      <w:outlineLvl w:val="2"/>
    </w:pPr>
    <w:rPr>
      <w:i/>
      <w:iCs/>
      <w:smallCaps/>
      <w:spacing w:val="5"/>
      <w:sz w:val="26"/>
      <w:szCs w:val="26"/>
    </w:rPr>
  </w:style>
  <w:style w:type="paragraph" w:customStyle="1" w:styleId="39">
    <w:name w:val="Heading 41"/>
    <w:basedOn w:val="1"/>
    <w:qFormat/>
    <w:uiPriority w:val="9"/>
    <w:pPr>
      <w:spacing w:after="0" w:line="271" w:lineRule="auto"/>
      <w:outlineLvl w:val="3"/>
    </w:pPr>
    <w:rPr>
      <w:b/>
      <w:bCs/>
      <w:spacing w:val="5"/>
      <w:szCs w:val="24"/>
    </w:rPr>
  </w:style>
  <w:style w:type="paragraph" w:customStyle="1" w:styleId="40">
    <w:name w:val="Heading 51"/>
    <w:basedOn w:val="1"/>
    <w:qFormat/>
    <w:uiPriority w:val="9"/>
    <w:pPr>
      <w:spacing w:after="0" w:line="271" w:lineRule="auto"/>
      <w:outlineLvl w:val="4"/>
    </w:pPr>
    <w:rPr>
      <w:i/>
      <w:iCs/>
      <w:szCs w:val="24"/>
    </w:rPr>
  </w:style>
  <w:style w:type="paragraph" w:customStyle="1" w:styleId="41">
    <w:name w:val="Heading 61"/>
    <w:basedOn w:val="1"/>
    <w:qFormat/>
    <w:uiPriority w:val="9"/>
    <w:pPr>
      <w:shd w:val="clear" w:color="auto" w:fill="FFFFFF"/>
      <w:spacing w:after="0" w:line="271" w:lineRule="auto"/>
      <w:outlineLvl w:val="5"/>
    </w:pPr>
    <w:rPr>
      <w:b/>
      <w:bCs/>
      <w:color w:val="595959"/>
      <w:spacing w:val="5"/>
    </w:rPr>
  </w:style>
  <w:style w:type="paragraph" w:customStyle="1" w:styleId="42">
    <w:name w:val="Heading 71"/>
    <w:basedOn w:val="1"/>
    <w:qFormat/>
    <w:uiPriority w:val="9"/>
    <w:pPr>
      <w:spacing w:after="0"/>
      <w:outlineLvl w:val="6"/>
    </w:pPr>
    <w:rPr>
      <w:b/>
      <w:bCs/>
      <w:i/>
      <w:iCs/>
      <w:color w:val="5A5A5A"/>
      <w:sz w:val="20"/>
      <w:szCs w:val="20"/>
    </w:rPr>
  </w:style>
  <w:style w:type="paragraph" w:customStyle="1" w:styleId="43">
    <w:name w:val="Heading 81"/>
    <w:basedOn w:val="1"/>
    <w:qFormat/>
    <w:uiPriority w:val="9"/>
    <w:pPr>
      <w:spacing w:after="0"/>
      <w:outlineLvl w:val="7"/>
    </w:pPr>
    <w:rPr>
      <w:b/>
      <w:bCs/>
      <w:color w:val="7F7F7F"/>
      <w:sz w:val="20"/>
      <w:szCs w:val="20"/>
    </w:rPr>
  </w:style>
  <w:style w:type="paragraph" w:customStyle="1" w:styleId="44">
    <w:name w:val="Heading 91"/>
    <w:basedOn w:val="1"/>
    <w:qFormat/>
    <w:uiPriority w:val="9"/>
    <w:pPr>
      <w:spacing w:after="0" w:line="271" w:lineRule="auto"/>
      <w:outlineLvl w:val="8"/>
    </w:pPr>
    <w:rPr>
      <w:b/>
      <w:bCs/>
      <w:i/>
      <w:iCs/>
      <w:color w:val="7F7F7F"/>
      <w:sz w:val="18"/>
      <w:szCs w:val="18"/>
    </w:rPr>
  </w:style>
  <w:style w:type="paragraph" w:customStyle="1" w:styleId="45">
    <w:name w:val="Caption1"/>
    <w:basedOn w:val="1"/>
    <w:qFormat/>
    <w:uiPriority w:val="0"/>
    <w:pPr>
      <w:suppressLineNumbers/>
      <w:spacing w:before="120" w:after="120"/>
    </w:pPr>
    <w:rPr>
      <w:i/>
      <w:iCs/>
      <w:szCs w:val="24"/>
    </w:rPr>
  </w:style>
  <w:style w:type="paragraph" w:customStyle="1" w:styleId="46">
    <w:name w:val="Footer1"/>
    <w:basedOn w:val="1"/>
    <w:unhideWhenUsed/>
    <w:qFormat/>
    <w:uiPriority w:val="99"/>
    <w:pPr>
      <w:tabs>
        <w:tab w:val="center" w:pos="4536"/>
        <w:tab w:val="right" w:pos="9072"/>
      </w:tabs>
    </w:pPr>
  </w:style>
  <w:style w:type="paragraph" w:customStyle="1" w:styleId="47">
    <w:name w:val="Header1"/>
    <w:basedOn w:val="1"/>
    <w:unhideWhenUsed/>
    <w:qFormat/>
    <w:uiPriority w:val="99"/>
    <w:pPr>
      <w:tabs>
        <w:tab w:val="center" w:pos="4536"/>
        <w:tab w:val="right" w:pos="9072"/>
      </w:tabs>
    </w:pPr>
  </w:style>
  <w:style w:type="paragraph" w:customStyle="1" w:styleId="48">
    <w:name w:val="Bez proreda1"/>
    <w:basedOn w:val="1"/>
    <w:qFormat/>
    <w:uiPriority w:val="1"/>
    <w:pPr>
      <w:spacing w:after="0" w:line="240" w:lineRule="auto"/>
    </w:pPr>
    <w:rPr>
      <w:lang w:eastAsia="zh-CN" w:bidi="ar-SA"/>
    </w:rPr>
  </w:style>
  <w:style w:type="paragraph" w:customStyle="1" w:styleId="49">
    <w:name w:val="Odlomak popisa1"/>
    <w:basedOn w:val="1"/>
    <w:qFormat/>
    <w:uiPriority w:val="34"/>
    <w:pPr>
      <w:ind w:left="720"/>
      <w:contextualSpacing/>
    </w:pPr>
  </w:style>
  <w:style w:type="paragraph" w:customStyle="1" w:styleId="50">
    <w:name w:val="Citat1"/>
    <w:basedOn w:val="1"/>
    <w:qFormat/>
    <w:uiPriority w:val="29"/>
    <w:rPr>
      <w:i/>
      <w:iCs/>
    </w:rPr>
  </w:style>
  <w:style w:type="paragraph" w:customStyle="1" w:styleId="51">
    <w:name w:val="Naglašen citat1"/>
    <w:basedOn w:val="1"/>
    <w:qFormat/>
    <w:uiPriority w:val="30"/>
    <w:pPr>
      <w:pBdr>
        <w:top w:val="single" w:color="00000A" w:sz="4" w:space="10"/>
        <w:left w:val="single" w:color="00000A" w:sz="50" w:space="31"/>
        <w:bottom w:val="single" w:color="00000A" w:sz="4" w:space="10"/>
        <w:right w:val="single" w:color="00000A" w:sz="50" w:space="31"/>
      </w:pBdr>
      <w:spacing w:before="240" w:after="240" w:line="300" w:lineRule="auto"/>
      <w:ind w:left="1152" w:right="1152"/>
    </w:pPr>
    <w:rPr>
      <w:i/>
      <w:iCs/>
    </w:rPr>
  </w:style>
  <w:style w:type="paragraph" w:customStyle="1" w:styleId="52">
    <w:name w:val="Naslov sadržaja"/>
    <w:basedOn w:val="36"/>
    <w:qFormat/>
    <w:uiPriority w:val="39"/>
  </w:style>
  <w:style w:type="paragraph" w:customStyle="1" w:styleId="53">
    <w:name w:val="Frame Contents"/>
    <w:basedOn w:val="1"/>
    <w:qFormat/>
    <w:uiPriority w:val="0"/>
  </w:style>
  <w:style w:type="paragraph" w:customStyle="1" w:styleId="54">
    <w:name w:val="Sadržaji tablice"/>
    <w:basedOn w:val="1"/>
    <w:qFormat/>
    <w:uiPriority w:val="0"/>
  </w:style>
  <w:style w:type="paragraph" w:customStyle="1" w:styleId="55">
    <w:name w:val="Naslov tablice"/>
    <w:basedOn w:val="54"/>
    <w:qFormat/>
    <w:uiPriority w:val="0"/>
  </w:style>
  <w:style w:type="paragraph" w:customStyle="1" w:styleId="56">
    <w:name w:val="Sadržaj okvira"/>
    <w:basedOn w:val="1"/>
    <w:qFormat/>
    <w:uiPriority w:val="0"/>
  </w:style>
  <w:style w:type="paragraph" w:customStyle="1" w:styleId="57">
    <w:name w:val="Citati"/>
    <w:basedOn w:val="1"/>
    <w:qFormat/>
    <w:uiPriority w:val="0"/>
  </w:style>
  <w:style w:type="paragraph" w:customStyle="1" w:styleId="58">
    <w:name w:val="List Paragraph1"/>
    <w:basedOn w:val="1"/>
    <w:qFormat/>
    <w:uiPriority w:val="0"/>
    <w:pPr>
      <w:ind w:left="720"/>
      <w:contextualSpacing/>
    </w:pPr>
  </w:style>
  <w:style w:type="paragraph" w:customStyle="1" w:styleId="59">
    <w:name w:val="Header or footer1"/>
    <w:basedOn w:val="1"/>
    <w:qFormat/>
    <w:uiPriority w:val="99"/>
    <w:pPr>
      <w:shd w:val="clear" w:color="auto" w:fill="FFFFFF"/>
    </w:pPr>
    <w:rPr>
      <w:rFonts w:cs="Times New Roman"/>
      <w:color w:val="auto"/>
      <w:sz w:val="20"/>
      <w:szCs w:val="20"/>
    </w:rPr>
  </w:style>
  <w:style w:type="paragraph" w:customStyle="1" w:styleId="60">
    <w:name w:val="Heading #41"/>
    <w:basedOn w:val="1"/>
    <w:qFormat/>
    <w:uiPriority w:val="99"/>
    <w:pPr>
      <w:shd w:val="clear" w:color="auto" w:fill="FFFFFF"/>
      <w:spacing w:after="240" w:line="240" w:lineRule="atLeast"/>
      <w:outlineLvl w:val="3"/>
    </w:pPr>
    <w:rPr>
      <w:rFonts w:cs="Times New Roman"/>
      <w:b/>
      <w:bCs/>
      <w:color w:val="auto"/>
    </w:rPr>
  </w:style>
  <w:style w:type="paragraph" w:customStyle="1" w:styleId="61">
    <w:name w:val="Heading #51"/>
    <w:basedOn w:val="1"/>
    <w:qFormat/>
    <w:uiPriority w:val="99"/>
    <w:pPr>
      <w:shd w:val="clear" w:color="auto" w:fill="FFFFFF"/>
      <w:spacing w:before="60" w:after="840" w:line="240" w:lineRule="atLeast"/>
      <w:outlineLvl w:val="4"/>
    </w:pPr>
    <w:rPr>
      <w:rFonts w:cs="Times New Roman"/>
      <w:b/>
      <w:bCs/>
      <w:color w:val="auto"/>
    </w:rPr>
  </w:style>
  <w:style w:type="paragraph" w:customStyle="1" w:styleId="62">
    <w:name w:val="Heading #31"/>
    <w:basedOn w:val="1"/>
    <w:qFormat/>
    <w:uiPriority w:val="99"/>
    <w:pPr>
      <w:shd w:val="clear" w:color="auto" w:fill="FFFFFF"/>
      <w:spacing w:before="600" w:after="60" w:line="240" w:lineRule="atLeast"/>
      <w:outlineLvl w:val="2"/>
    </w:pPr>
    <w:rPr>
      <w:rFonts w:cs="Times New Roman"/>
      <w:b/>
      <w:bCs/>
      <w:color w:val="auto"/>
      <w:sz w:val="34"/>
      <w:szCs w:val="34"/>
    </w:rPr>
  </w:style>
  <w:style w:type="paragraph" w:customStyle="1" w:styleId="63">
    <w:name w:val="Body text1"/>
    <w:basedOn w:val="1"/>
    <w:qFormat/>
    <w:uiPriority w:val="99"/>
    <w:pPr>
      <w:shd w:val="clear" w:color="auto" w:fill="FFFFFF"/>
      <w:spacing w:after="480" w:line="274" w:lineRule="exact"/>
      <w:ind w:firstLine="720"/>
    </w:pPr>
    <w:rPr>
      <w:rFonts w:cs="Times New Roman"/>
      <w:color w:val="auto"/>
    </w:rPr>
  </w:style>
  <w:style w:type="paragraph" w:customStyle="1" w:styleId="64">
    <w:name w:val="Body text (2)1"/>
    <w:basedOn w:val="1"/>
    <w:qFormat/>
    <w:uiPriority w:val="99"/>
    <w:pPr>
      <w:shd w:val="clear" w:color="auto" w:fill="FFFFFF"/>
      <w:spacing w:before="240" w:after="60" w:line="240" w:lineRule="atLeast"/>
    </w:pPr>
    <w:rPr>
      <w:rFonts w:cs="Times New Roman"/>
      <w:color w:val="auto"/>
    </w:rPr>
  </w:style>
  <w:style w:type="paragraph" w:customStyle="1" w:styleId="65">
    <w:name w:val="Heading #5 (2)1"/>
    <w:basedOn w:val="1"/>
    <w:qFormat/>
    <w:uiPriority w:val="99"/>
    <w:pPr>
      <w:shd w:val="clear" w:color="auto" w:fill="FFFFFF"/>
      <w:spacing w:before="300" w:after="240" w:line="240" w:lineRule="atLeast"/>
      <w:ind w:firstLine="320"/>
      <w:outlineLvl w:val="4"/>
    </w:pPr>
    <w:rPr>
      <w:rFonts w:cs="Times New Roman"/>
      <w:b/>
      <w:bCs/>
      <w:color w:val="auto"/>
    </w:rPr>
  </w:style>
  <w:style w:type="paragraph" w:customStyle="1" w:styleId="66">
    <w:name w:val="Body text (4)1"/>
    <w:basedOn w:val="1"/>
    <w:qFormat/>
    <w:uiPriority w:val="99"/>
    <w:pPr>
      <w:shd w:val="clear" w:color="auto" w:fill="FFFFFF"/>
      <w:spacing w:before="240" w:after="480" w:line="277" w:lineRule="exact"/>
      <w:ind w:firstLine="360"/>
    </w:pPr>
    <w:rPr>
      <w:rFonts w:cs="Times New Roman"/>
      <w:color w:val="auto"/>
    </w:rPr>
  </w:style>
  <w:style w:type="paragraph" w:customStyle="1" w:styleId="67">
    <w:name w:val="Body text (3)1"/>
    <w:basedOn w:val="1"/>
    <w:qFormat/>
    <w:uiPriority w:val="99"/>
    <w:pPr>
      <w:shd w:val="clear" w:color="auto" w:fill="FFFFFF"/>
      <w:spacing w:before="60" w:after="240" w:line="266" w:lineRule="exact"/>
      <w:ind w:firstLine="720"/>
    </w:pPr>
    <w:rPr>
      <w:rFonts w:cs="Times New Roman"/>
      <w:color w:val="auto"/>
    </w:rPr>
  </w:style>
  <w:style w:type="paragraph" w:customStyle="1" w:styleId="68">
    <w:name w:val="Body text (17)1"/>
    <w:basedOn w:val="1"/>
    <w:qFormat/>
    <w:uiPriority w:val="99"/>
    <w:pPr>
      <w:shd w:val="clear" w:color="auto" w:fill="FFFFFF"/>
      <w:spacing w:line="240" w:lineRule="atLeast"/>
    </w:pPr>
    <w:rPr>
      <w:rFonts w:cs="Times New Roman"/>
      <w:color w:val="auto"/>
    </w:rPr>
  </w:style>
  <w:style w:type="paragraph" w:customStyle="1" w:styleId="69">
    <w:name w:val="Heading #4 (2)1"/>
    <w:basedOn w:val="1"/>
    <w:qFormat/>
    <w:uiPriority w:val="99"/>
    <w:pPr>
      <w:shd w:val="clear" w:color="auto" w:fill="FFFFFF"/>
      <w:spacing w:before="240" w:line="274" w:lineRule="exact"/>
      <w:ind w:firstLine="720"/>
      <w:outlineLvl w:val="3"/>
    </w:pPr>
    <w:rPr>
      <w:rFonts w:cs="Times New Roman"/>
      <w:b/>
      <w:bCs/>
      <w:color w:val="auto"/>
    </w:rPr>
  </w:style>
  <w:style w:type="paragraph" w:customStyle="1" w:styleId="70">
    <w:name w:val="Heading #21"/>
    <w:basedOn w:val="1"/>
    <w:qFormat/>
    <w:uiPriority w:val="99"/>
    <w:pPr>
      <w:shd w:val="clear" w:color="auto" w:fill="FFFFFF"/>
      <w:spacing w:after="600" w:line="240" w:lineRule="atLeast"/>
      <w:outlineLvl w:val="1"/>
    </w:pPr>
    <w:rPr>
      <w:rFonts w:cs="Times New Roman"/>
      <w:b/>
      <w:bCs/>
      <w:color w:val="auto"/>
      <w:sz w:val="34"/>
      <w:szCs w:val="34"/>
    </w:rPr>
  </w:style>
  <w:style w:type="paragraph" w:customStyle="1" w:styleId="71">
    <w:name w:val="Bez proreda2"/>
    <w:basedOn w:val="1"/>
    <w:qFormat/>
    <w:uiPriority w:val="1"/>
    <w:pPr>
      <w:spacing w:after="0" w:line="240" w:lineRule="auto"/>
    </w:pPr>
  </w:style>
  <w:style w:type="paragraph" w:customStyle="1" w:styleId="72">
    <w:name w:val="Body Text2"/>
    <w:basedOn w:val="1"/>
    <w:qFormat/>
    <w:uiPriority w:val="99"/>
    <w:pPr>
      <w:shd w:val="clear" w:color="auto" w:fill="FFFFFF"/>
      <w:spacing w:before="900" w:after="480" w:line="269" w:lineRule="exact"/>
      <w:ind w:hanging="360"/>
    </w:pPr>
    <w:rPr>
      <w:rFonts w:ascii="Calibri" w:hAnsi="Calibri" w:cs="Calibri"/>
      <w:sz w:val="21"/>
      <w:szCs w:val="21"/>
    </w:rPr>
  </w:style>
  <w:style w:type="paragraph" w:customStyle="1" w:styleId="73">
    <w:name w:val="Heading #1"/>
    <w:basedOn w:val="1"/>
    <w:qFormat/>
    <w:uiPriority w:val="99"/>
    <w:pPr>
      <w:shd w:val="clear" w:color="auto" w:fill="FFFFFF"/>
      <w:spacing w:after="900" w:line="240" w:lineRule="atLeast"/>
      <w:outlineLvl w:val="0"/>
    </w:pPr>
    <w:rPr>
      <w:rFonts w:ascii="Calibri" w:hAnsi="Calibri" w:cs="Calibri"/>
      <w:b/>
      <w:bCs/>
      <w:sz w:val="27"/>
      <w:szCs w:val="27"/>
    </w:rPr>
  </w:style>
  <w:style w:type="paragraph" w:customStyle="1" w:styleId="74">
    <w:name w:val="Odlomak popisa2"/>
    <w:basedOn w:val="1"/>
    <w:qFormat/>
    <w:uiPriority w:val="99"/>
    <w:pPr>
      <w:ind w:left="720"/>
      <w:contextualSpacing/>
    </w:pPr>
  </w:style>
  <w:style w:type="character" w:customStyle="1" w:styleId="75">
    <w:name w:val="Internet Link"/>
    <w:unhideWhenUsed/>
    <w:qFormat/>
    <w:uiPriority w:val="99"/>
    <w:rPr>
      <w:color w:val="0000FF"/>
      <w:u w:val="single"/>
    </w:rPr>
  </w:style>
  <w:style w:type="character" w:customStyle="1" w:styleId="76">
    <w:name w:val="Heading 1 Char"/>
    <w:qFormat/>
    <w:uiPriority w:val="9"/>
    <w:rPr>
      <w:smallCaps/>
      <w:spacing w:val="5"/>
      <w:sz w:val="36"/>
      <w:szCs w:val="36"/>
    </w:rPr>
  </w:style>
  <w:style w:type="character" w:customStyle="1" w:styleId="77">
    <w:name w:val="Heading 2 Char"/>
    <w:semiHidden/>
    <w:qFormat/>
    <w:uiPriority w:val="9"/>
    <w:rPr>
      <w:smallCaps/>
      <w:sz w:val="28"/>
      <w:szCs w:val="28"/>
    </w:rPr>
  </w:style>
  <w:style w:type="character" w:customStyle="1" w:styleId="78">
    <w:name w:val="Heading 3 Char"/>
    <w:semiHidden/>
    <w:qFormat/>
    <w:uiPriority w:val="9"/>
    <w:rPr>
      <w:i/>
      <w:iCs/>
      <w:smallCaps/>
      <w:spacing w:val="5"/>
      <w:sz w:val="26"/>
      <w:szCs w:val="26"/>
    </w:rPr>
  </w:style>
  <w:style w:type="character" w:customStyle="1" w:styleId="79">
    <w:name w:val="Heading 4 Char"/>
    <w:semiHidden/>
    <w:qFormat/>
    <w:uiPriority w:val="9"/>
    <w:rPr>
      <w:b/>
      <w:bCs/>
      <w:spacing w:val="5"/>
      <w:sz w:val="24"/>
      <w:szCs w:val="24"/>
    </w:rPr>
  </w:style>
  <w:style w:type="character" w:customStyle="1" w:styleId="80">
    <w:name w:val="Heading 5 Char"/>
    <w:semiHidden/>
    <w:qFormat/>
    <w:uiPriority w:val="9"/>
    <w:rPr>
      <w:i/>
      <w:iCs/>
      <w:sz w:val="24"/>
      <w:szCs w:val="24"/>
    </w:rPr>
  </w:style>
  <w:style w:type="character" w:customStyle="1" w:styleId="81">
    <w:name w:val="Heading 6 Char"/>
    <w:semiHidden/>
    <w:qFormat/>
    <w:uiPriority w:val="9"/>
    <w:rPr>
      <w:color w:val="595959"/>
      <w:spacing w:val="5"/>
      <w:shd w:val="clear" w:color="auto" w:fill="FFFFFF"/>
    </w:rPr>
  </w:style>
  <w:style w:type="character" w:customStyle="1" w:styleId="82">
    <w:name w:val="Heading 7 Char"/>
    <w:semiHidden/>
    <w:qFormat/>
    <w:uiPriority w:val="9"/>
    <w:rPr>
      <w:b/>
      <w:bCs/>
      <w:i/>
      <w:iCs/>
      <w:color w:val="5A5A5A"/>
      <w:sz w:val="20"/>
      <w:szCs w:val="20"/>
    </w:rPr>
  </w:style>
  <w:style w:type="character" w:customStyle="1" w:styleId="83">
    <w:name w:val="Heading 8 Char"/>
    <w:semiHidden/>
    <w:qFormat/>
    <w:uiPriority w:val="9"/>
    <w:rPr>
      <w:b/>
      <w:bCs/>
      <w:color w:val="7F7F7F"/>
      <w:sz w:val="20"/>
      <w:szCs w:val="20"/>
    </w:rPr>
  </w:style>
  <w:style w:type="character" w:customStyle="1" w:styleId="84">
    <w:name w:val="Heading 9 Char"/>
    <w:semiHidden/>
    <w:qFormat/>
    <w:uiPriority w:val="9"/>
    <w:rPr>
      <w:b/>
      <w:bCs/>
      <w:i/>
      <w:iCs/>
      <w:color w:val="7F7F7F"/>
      <w:sz w:val="18"/>
      <w:szCs w:val="18"/>
    </w:rPr>
  </w:style>
  <w:style w:type="character" w:customStyle="1" w:styleId="85">
    <w:name w:val="Title Char"/>
    <w:qFormat/>
    <w:uiPriority w:val="10"/>
    <w:rPr>
      <w:smallCaps/>
      <w:sz w:val="52"/>
      <w:szCs w:val="52"/>
    </w:rPr>
  </w:style>
  <w:style w:type="character" w:customStyle="1" w:styleId="86">
    <w:name w:val="Subtitle Char"/>
    <w:qFormat/>
    <w:uiPriority w:val="11"/>
    <w:rPr>
      <w:i/>
      <w:iCs/>
      <w:smallCaps/>
      <w:spacing w:val="10"/>
      <w:sz w:val="28"/>
      <w:szCs w:val="28"/>
    </w:rPr>
  </w:style>
  <w:style w:type="character" w:customStyle="1" w:styleId="87">
    <w:name w:val="Quote Char"/>
    <w:qFormat/>
    <w:uiPriority w:val="29"/>
    <w:rPr>
      <w:i/>
      <w:iCs/>
    </w:rPr>
  </w:style>
  <w:style w:type="character" w:customStyle="1" w:styleId="88">
    <w:name w:val="Intense Quote Char"/>
    <w:qFormat/>
    <w:uiPriority w:val="30"/>
    <w:rPr>
      <w:i/>
      <w:iCs/>
    </w:rPr>
  </w:style>
  <w:style w:type="character" w:customStyle="1" w:styleId="89">
    <w:name w:val="Neupadljivo isticanje1"/>
    <w:qFormat/>
    <w:uiPriority w:val="19"/>
    <w:rPr>
      <w:i/>
      <w:iCs/>
    </w:rPr>
  </w:style>
  <w:style w:type="character" w:customStyle="1" w:styleId="90">
    <w:name w:val="Jako isticanje1"/>
    <w:qFormat/>
    <w:uiPriority w:val="21"/>
    <w:rPr>
      <w:b/>
      <w:bCs/>
      <w:i/>
      <w:iCs/>
    </w:rPr>
  </w:style>
  <w:style w:type="character" w:customStyle="1" w:styleId="91">
    <w:name w:val="Neupadljiva referenca1"/>
    <w:qFormat/>
    <w:uiPriority w:val="31"/>
    <w:rPr>
      <w:smallCaps/>
    </w:rPr>
  </w:style>
  <w:style w:type="character" w:customStyle="1" w:styleId="92">
    <w:name w:val="Istaknuta referenca1"/>
    <w:qFormat/>
    <w:uiPriority w:val="32"/>
    <w:rPr>
      <w:b/>
      <w:bCs/>
      <w:smallCaps/>
    </w:rPr>
  </w:style>
  <w:style w:type="character" w:customStyle="1" w:styleId="93">
    <w:name w:val="Naslov knjige1"/>
    <w:qFormat/>
    <w:uiPriority w:val="33"/>
    <w:rPr>
      <w:i/>
      <w:iCs/>
      <w:smallCaps/>
      <w:spacing w:val="5"/>
    </w:rPr>
  </w:style>
  <w:style w:type="character" w:customStyle="1" w:styleId="94">
    <w:name w:val="Header Char"/>
    <w:qFormat/>
    <w:uiPriority w:val="99"/>
    <w:rPr>
      <w:sz w:val="22"/>
      <w:szCs w:val="22"/>
      <w:lang w:val="en-US" w:eastAsia="en-US" w:bidi="en-US"/>
    </w:rPr>
  </w:style>
  <w:style w:type="character" w:customStyle="1" w:styleId="95">
    <w:name w:val="Footer Char"/>
    <w:qFormat/>
    <w:uiPriority w:val="99"/>
    <w:rPr>
      <w:sz w:val="22"/>
      <w:szCs w:val="22"/>
      <w:lang w:val="en-US" w:eastAsia="en-US" w:bidi="en-US"/>
    </w:rPr>
  </w:style>
  <w:style w:type="character" w:customStyle="1" w:styleId="96">
    <w:name w:val="Balloon Text Char"/>
    <w:semiHidden/>
    <w:qFormat/>
    <w:uiPriority w:val="99"/>
    <w:rPr>
      <w:rFonts w:ascii="Tahoma" w:hAnsi="Tahoma" w:cs="Tahoma"/>
      <w:sz w:val="16"/>
      <w:szCs w:val="16"/>
      <w:lang w:val="en-US" w:eastAsia="en-US" w:bidi="en-US"/>
    </w:rPr>
  </w:style>
  <w:style w:type="character" w:customStyle="1" w:styleId="97">
    <w:name w:val="Zaglavlje Char"/>
    <w:link w:val="20"/>
    <w:qFormat/>
    <w:uiPriority w:val="99"/>
    <w:rPr>
      <w:color w:val="00000A"/>
      <w:sz w:val="22"/>
      <w:szCs w:val="22"/>
      <w:lang w:eastAsia="en-US" w:bidi="en-US"/>
    </w:rPr>
  </w:style>
  <w:style w:type="character" w:customStyle="1" w:styleId="98">
    <w:name w:val="Podnožje Char"/>
    <w:link w:val="18"/>
    <w:qFormat/>
    <w:uiPriority w:val="99"/>
    <w:rPr>
      <w:color w:val="00000A"/>
      <w:sz w:val="22"/>
      <w:szCs w:val="22"/>
      <w:lang w:eastAsia="en-US" w:bidi="en-US"/>
    </w:rPr>
  </w:style>
  <w:style w:type="paragraph" w:styleId="99">
    <w:name w:val="List Paragraph"/>
    <w:basedOn w:val="1"/>
    <w:link w:val="110"/>
    <w:qFormat/>
    <w:uiPriority w:val="1"/>
    <w:pPr>
      <w:autoSpaceDN w:val="0"/>
      <w:ind w:left="720"/>
    </w:pPr>
    <w:rPr>
      <w:rFonts w:ascii="Calibri" w:hAnsi="Calibri" w:eastAsia="Calibri" w:cs="Times New Roman"/>
      <w:color w:val="auto"/>
      <w:lang w:val="hr-HR" w:bidi="ar-SA"/>
    </w:rPr>
  </w:style>
  <w:style w:type="paragraph" w:customStyle="1" w:styleId="100">
    <w:name w:val="Default"/>
    <w:qFormat/>
    <w:uiPriority w:val="0"/>
    <w:pPr>
      <w:autoSpaceDE w:val="0"/>
      <w:autoSpaceDN w:val="0"/>
      <w:adjustRightInd w:val="0"/>
    </w:pPr>
    <w:rPr>
      <w:rFonts w:ascii="Times New Roman" w:hAnsi="Times New Roman" w:eastAsia="Times New Roman" w:cs="Times New Roman"/>
      <w:color w:val="000000"/>
      <w:sz w:val="24"/>
      <w:szCs w:val="24"/>
      <w:lang w:val="hr-HR" w:eastAsia="hr-HR" w:bidi="ar-SA"/>
    </w:rPr>
  </w:style>
  <w:style w:type="character" w:customStyle="1" w:styleId="101">
    <w:name w:val="Tekst fusnote Char"/>
    <w:basedOn w:val="6"/>
    <w:link w:val="19"/>
    <w:qFormat/>
    <w:uiPriority w:val="0"/>
    <w:rPr>
      <w:rFonts w:ascii="Times New Roman" w:hAnsi="Times New Roman" w:cs="Times New Roman"/>
    </w:rPr>
  </w:style>
  <w:style w:type="paragraph" w:customStyle="1" w:styleId="102">
    <w:name w:val="No Spacing1"/>
    <w:qFormat/>
    <w:uiPriority w:val="0"/>
    <w:rPr>
      <w:rFonts w:ascii="Calibri" w:hAnsi="Calibri" w:eastAsia="Times New Roman" w:cs="Times New Roman"/>
      <w:sz w:val="22"/>
      <w:szCs w:val="22"/>
      <w:lang w:val="hr-HR" w:eastAsia="en-US" w:bidi="ar-SA"/>
    </w:rPr>
  </w:style>
  <w:style w:type="character" w:customStyle="1" w:styleId="103">
    <w:name w:val="Tijelo teksta Char"/>
    <w:link w:val="9"/>
    <w:qFormat/>
    <w:uiPriority w:val="0"/>
    <w:rPr>
      <w:color w:val="00000A"/>
      <w:sz w:val="22"/>
      <w:szCs w:val="22"/>
      <w:lang w:val="en-US" w:eastAsia="en-US" w:bidi="en-US"/>
    </w:rPr>
  </w:style>
  <w:style w:type="character" w:customStyle="1" w:styleId="104">
    <w:name w:val="Uvučeno tijelo teksta Char"/>
    <w:basedOn w:val="6"/>
    <w:link w:val="11"/>
    <w:qFormat/>
    <w:uiPriority w:val="0"/>
    <w:rPr>
      <w:rFonts w:ascii="Times New Roman" w:hAnsi="Times New Roman" w:cs="Times New Roman"/>
      <w:sz w:val="24"/>
      <w:szCs w:val="24"/>
      <w:lang w:val="en-GB" w:eastAsia="en-US"/>
    </w:rPr>
  </w:style>
  <w:style w:type="paragraph" w:customStyle="1" w:styleId="105">
    <w:name w:val="Body Text.uvlaka 2.uvlaka 3"/>
    <w:basedOn w:val="1"/>
    <w:qFormat/>
    <w:uiPriority w:val="99"/>
    <w:pPr>
      <w:suppressAutoHyphens w:val="0"/>
      <w:spacing w:after="0" w:line="240" w:lineRule="auto"/>
    </w:pPr>
    <w:rPr>
      <w:rFonts w:ascii="Arial" w:hAnsi="Arial" w:cs="Arial"/>
      <w:color w:val="auto"/>
      <w:lang w:val="en-GB" w:bidi="ar-SA"/>
    </w:rPr>
  </w:style>
  <w:style w:type="paragraph" w:customStyle="1" w:styleId="106">
    <w:name w:val="t-9-8"/>
    <w:basedOn w:val="1"/>
    <w:qFormat/>
    <w:uiPriority w:val="0"/>
    <w:pPr>
      <w:suppressAutoHyphens w:val="0"/>
      <w:spacing w:before="100" w:beforeAutospacing="1" w:after="100" w:afterAutospacing="1" w:line="240" w:lineRule="auto"/>
    </w:pPr>
    <w:rPr>
      <w:rFonts w:cs="Times New Roman"/>
      <w:color w:val="auto"/>
      <w:szCs w:val="24"/>
      <w:lang w:val="hr-HR" w:eastAsia="hr-HR" w:bidi="ar-SA"/>
    </w:rPr>
  </w:style>
  <w:style w:type="character" w:customStyle="1" w:styleId="107">
    <w:name w:val="Naslov 9 Char"/>
    <w:basedOn w:val="6"/>
    <w:link w:val="5"/>
    <w:qFormat/>
    <w:uiPriority w:val="9"/>
    <w:rPr>
      <w:rFonts w:asciiTheme="majorHAnsi" w:hAnsiTheme="majorHAnsi" w:eastAsiaTheme="majorEastAsia" w:cstheme="majorBidi"/>
      <w:i/>
      <w:iCs/>
      <w:color w:val="404040" w:themeColor="text1" w:themeTint="BF"/>
      <w:lang w:val="en-US" w:eastAsia="en-US" w:bidi="en-US"/>
      <w14:textFill>
        <w14:solidFill>
          <w14:schemeClr w14:val="tx1">
            <w14:lumMod w14:val="75000"/>
            <w14:lumOff w14:val="25000"/>
          </w14:schemeClr>
        </w14:solidFill>
      </w14:textFill>
    </w:rPr>
  </w:style>
  <w:style w:type="character" w:customStyle="1" w:styleId="108">
    <w:name w:val="Naslov 5 Char"/>
    <w:basedOn w:val="6"/>
    <w:link w:val="3"/>
    <w:qFormat/>
    <w:uiPriority w:val="9"/>
    <w:rPr>
      <w:rFonts w:asciiTheme="majorHAnsi" w:hAnsiTheme="majorHAnsi" w:eastAsiaTheme="majorEastAsia" w:cstheme="majorBidi"/>
      <w:color w:val="254061" w:themeColor="accent1" w:themeShade="80"/>
      <w:sz w:val="22"/>
      <w:szCs w:val="22"/>
      <w:lang w:val="en-US" w:eastAsia="en-US" w:bidi="en-US"/>
    </w:rPr>
  </w:style>
  <w:style w:type="character" w:customStyle="1" w:styleId="109">
    <w:name w:val="Naslov 8 Char"/>
    <w:basedOn w:val="6"/>
    <w:link w:val="4"/>
    <w:qFormat/>
    <w:uiPriority w:val="9"/>
    <w:rPr>
      <w:rFonts w:asciiTheme="majorHAnsi" w:hAnsiTheme="majorHAnsi" w:eastAsiaTheme="majorEastAsia" w:cstheme="majorBidi"/>
      <w:color w:val="404040" w:themeColor="text1" w:themeTint="BF"/>
      <w:lang w:val="en-US" w:eastAsia="en-US" w:bidi="en-US"/>
      <w14:textFill>
        <w14:solidFill>
          <w14:schemeClr w14:val="tx1">
            <w14:lumMod w14:val="75000"/>
            <w14:lumOff w14:val="25000"/>
          </w14:schemeClr>
        </w14:solidFill>
      </w14:textFill>
    </w:rPr>
  </w:style>
  <w:style w:type="character" w:customStyle="1" w:styleId="110">
    <w:name w:val="Odlomak popisa Char"/>
    <w:link w:val="99"/>
    <w:qFormat/>
    <w:locked/>
    <w:uiPriority w:val="34"/>
    <w:rPr>
      <w:rFonts w:ascii="Calibri" w:hAnsi="Calibri" w:eastAsia="Calibri" w:cs="Times New Roman"/>
      <w:sz w:val="22"/>
      <w:szCs w:val="22"/>
      <w:lang w:eastAsia="en-US"/>
    </w:rPr>
  </w:style>
  <w:style w:type="character" w:customStyle="1" w:styleId="111">
    <w:name w:val="Neriješeno spominjanje1"/>
    <w:basedOn w:val="6"/>
    <w:semiHidden/>
    <w:unhideWhenUsed/>
    <w:qFormat/>
    <w:uiPriority w:val="99"/>
    <w:rPr>
      <w:color w:val="605E5C"/>
      <w:shd w:val="clear" w:color="auto" w:fill="E1DFDD"/>
    </w:rPr>
  </w:style>
  <w:style w:type="character" w:customStyle="1" w:styleId="112">
    <w:name w:val="Tekst komentara Char"/>
    <w:basedOn w:val="6"/>
    <w:link w:val="14"/>
    <w:semiHidden/>
    <w:qFormat/>
    <w:uiPriority w:val="0"/>
    <w:rPr>
      <w:rFonts w:ascii="Times New Roman" w:hAnsi="Times New Roman"/>
      <w:color w:val="00000A"/>
      <w:lang w:val="en-US" w:eastAsia="en-US" w:bidi="en-US"/>
    </w:rPr>
  </w:style>
  <w:style w:type="character" w:customStyle="1" w:styleId="113">
    <w:name w:val="Predmet komentara Char"/>
    <w:basedOn w:val="112"/>
    <w:link w:val="15"/>
    <w:semiHidden/>
    <w:qFormat/>
    <w:uiPriority w:val="0"/>
    <w:rPr>
      <w:rFonts w:ascii="Times New Roman" w:hAnsi="Times New Roman"/>
      <w:b/>
      <w:bCs/>
      <w:color w:val="00000A"/>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18</Pages>
  <Words>4553</Words>
  <Characters>25954</Characters>
  <Lines>216</Lines>
  <Paragraphs>60</Paragraphs>
  <TotalTime>136</TotalTime>
  <ScaleCrop>false</ScaleCrop>
  <LinksUpToDate>false</LinksUpToDate>
  <CharactersWithSpaces>30447</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2024-07-10T12:44:00Z</dcterms:created>
  <dc:creator>User</dc:creator>
  <cp:lastModifiedBy>Barbara Alilovic</cp:lastModifiedBy>
  <cp:lastPrinted>2024-07-15T09:42:00Z</cp:lastPrinted>
  <dcterms:modified xsi:type="dcterms:W3CDTF">2025-04-11T08:37:34Z</dcterms:modified>
  <dc:title>Tel: 022 660 049   Fax: 022 660 233</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1760CBA0A5224145B78B7A0DDE31407B_12</vt:lpwstr>
  </property>
</Properties>
</file>